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6E0" w:rsidRPr="00AD16E0" w:rsidRDefault="00AD16E0" w:rsidP="00AD16E0">
      <w:pPr>
        <w:widowControl/>
        <w:spacing w:line="480" w:lineRule="auto"/>
        <w:ind w:firstLine="202"/>
        <w:rPr>
          <w:rFonts w:ascii="Times" w:hAnsi="Times" w:cs="Times New Roman"/>
          <w:b/>
          <w:kern w:val="0"/>
          <w:szCs w:val="20"/>
        </w:rPr>
      </w:pPr>
      <w:r w:rsidRPr="00AD16E0">
        <w:rPr>
          <w:rFonts w:ascii="Times" w:hAnsi="Times" w:cs="Times New Roman" w:hint="eastAsia"/>
          <w:b/>
          <w:kern w:val="0"/>
          <w:szCs w:val="20"/>
        </w:rPr>
        <w:t>Results</w:t>
      </w:r>
    </w:p>
    <w:p w:rsidR="00AD16E0" w:rsidRPr="00AD16E0" w:rsidRDefault="00AD16E0" w:rsidP="00AD16E0">
      <w:pPr>
        <w:widowControl/>
        <w:spacing w:line="480" w:lineRule="auto"/>
        <w:ind w:firstLine="202"/>
        <w:rPr>
          <w:rFonts w:ascii="Times" w:hAnsi="Times" w:cs="Times New Roman"/>
          <w:i/>
          <w:kern w:val="0"/>
          <w:szCs w:val="20"/>
          <w:lang w:eastAsia="en-US"/>
        </w:rPr>
      </w:pPr>
      <w:r w:rsidRPr="00AD16E0">
        <w:rPr>
          <w:rFonts w:ascii="Times" w:hAnsi="Times" w:cs="Times New Roman"/>
          <w:kern w:val="0"/>
          <w:szCs w:val="20"/>
        </w:rPr>
        <w:t xml:space="preserve">2.4 </w:t>
      </w:r>
      <w:r w:rsidRPr="00AD16E0">
        <w:rPr>
          <w:rFonts w:ascii="Times" w:hAnsi="Times" w:cs="Times New Roman" w:hint="eastAsia"/>
          <w:kern w:val="0"/>
          <w:szCs w:val="20"/>
        </w:rPr>
        <w:t>[</w:t>
      </w:r>
      <w:r w:rsidRPr="00AD16E0">
        <w:rPr>
          <w:rFonts w:ascii="Times" w:hAnsi="Times" w:cs="Times New Roman"/>
          <w:i/>
          <w:kern w:val="0"/>
          <w:szCs w:val="20"/>
        </w:rPr>
        <w:t xml:space="preserve">Molecular docking of compounds </w:t>
      </w:r>
      <w:r w:rsidRPr="00AD16E0">
        <w:rPr>
          <w:rFonts w:ascii="Times" w:hAnsi="Times" w:cs="Times New Roman"/>
          <w:b/>
          <w:i/>
          <w:kern w:val="0"/>
          <w:szCs w:val="20"/>
        </w:rPr>
        <w:t>4n</w:t>
      </w:r>
      <w:r w:rsidRPr="00AD16E0">
        <w:rPr>
          <w:rFonts w:ascii="Times" w:hAnsi="Times" w:cs="Times New Roman"/>
          <w:i/>
          <w:kern w:val="0"/>
          <w:szCs w:val="20"/>
        </w:rPr>
        <w:t xml:space="preserve">, </w:t>
      </w:r>
      <w:r w:rsidRPr="00AD16E0">
        <w:rPr>
          <w:rFonts w:ascii="Times" w:hAnsi="Times" w:cs="Times New Roman"/>
          <w:b/>
          <w:i/>
          <w:kern w:val="0"/>
          <w:szCs w:val="20"/>
        </w:rPr>
        <w:t>8f</w:t>
      </w:r>
      <w:r w:rsidRPr="00AD16E0">
        <w:rPr>
          <w:rFonts w:ascii="Times" w:hAnsi="Times" w:cs="Times New Roman"/>
          <w:i/>
          <w:kern w:val="0"/>
          <w:szCs w:val="20"/>
        </w:rPr>
        <w:t xml:space="preserve"> and </w:t>
      </w:r>
      <w:r w:rsidRPr="00AD16E0">
        <w:rPr>
          <w:rFonts w:ascii="Times" w:hAnsi="Times" w:cs="Times New Roman"/>
          <w:b/>
          <w:i/>
          <w:kern w:val="0"/>
          <w:szCs w:val="20"/>
        </w:rPr>
        <w:t>4a</w:t>
      </w:r>
      <w:r w:rsidRPr="00AD16E0">
        <w:rPr>
          <w:rFonts w:ascii="Times" w:hAnsi="Times" w:cs="Times New Roman"/>
          <w:i/>
          <w:kern w:val="0"/>
          <w:szCs w:val="20"/>
        </w:rPr>
        <w:t xml:space="preserve"> to LXR</w:t>
      </w:r>
      <w:r w:rsidRPr="00AD16E0">
        <w:rPr>
          <w:rFonts w:ascii="Times" w:hAnsi="Times" w:cs="Times New Roman"/>
          <w:i/>
          <w:kern w:val="0"/>
          <w:szCs w:val="20"/>
          <w:lang w:eastAsia="en-US"/>
        </w:rPr>
        <w:t>α</w:t>
      </w:r>
    </w:p>
    <w:p w:rsidR="00AD16E0" w:rsidRPr="00AD16E0" w:rsidRDefault="00AD16E0" w:rsidP="00AD16E0">
      <w:pPr>
        <w:widowControl/>
        <w:spacing w:line="480" w:lineRule="auto"/>
        <w:ind w:firstLine="202"/>
        <w:rPr>
          <w:rFonts w:ascii="Times" w:hAnsi="Times" w:cs="Times New Roman"/>
          <w:kern w:val="0"/>
          <w:szCs w:val="20"/>
          <w:lang w:eastAsia="en-US"/>
        </w:rPr>
      </w:pPr>
      <w:r w:rsidRPr="00AD16E0">
        <w:rPr>
          <w:rFonts w:ascii="Times" w:hAnsi="Times" w:cs="Times New Roman" w:hint="eastAsia"/>
          <w:kern w:val="0"/>
          <w:szCs w:val="20"/>
          <w:lang w:val="de-DE"/>
        </w:rPr>
        <w:t>W</w:t>
      </w:r>
      <w:r w:rsidRPr="00AD16E0">
        <w:rPr>
          <w:rFonts w:ascii="Times" w:hAnsi="Times" w:cs="Times New Roman"/>
          <w:kern w:val="0"/>
          <w:szCs w:val="20"/>
          <w:lang w:val="de-DE"/>
        </w:rPr>
        <w:t xml:space="preserve">e docked 2 active compounds, i.e., </w:t>
      </w:r>
      <w:r w:rsidRPr="00AD16E0">
        <w:rPr>
          <w:rFonts w:ascii="Times" w:hAnsi="Times" w:cs="Times New Roman"/>
          <w:b/>
          <w:kern w:val="0"/>
          <w:szCs w:val="20"/>
          <w:lang w:val="de-DE"/>
        </w:rPr>
        <w:t>4n</w:t>
      </w:r>
      <w:r w:rsidRPr="00AD16E0">
        <w:rPr>
          <w:rFonts w:ascii="Times" w:hAnsi="Times" w:cs="Times New Roman"/>
          <w:kern w:val="0"/>
          <w:szCs w:val="20"/>
          <w:lang w:val="de-DE"/>
        </w:rPr>
        <w:t xml:space="preserve"> and </w:t>
      </w:r>
      <w:r w:rsidRPr="00AD16E0">
        <w:rPr>
          <w:rFonts w:ascii="Times" w:hAnsi="Times" w:cs="Times New Roman"/>
          <w:b/>
          <w:kern w:val="0"/>
          <w:szCs w:val="20"/>
          <w:lang w:val="de-DE"/>
        </w:rPr>
        <w:t>8f</w:t>
      </w:r>
      <w:r w:rsidRPr="00AD16E0">
        <w:rPr>
          <w:rFonts w:ascii="Times" w:hAnsi="Times" w:cs="Times New Roman"/>
          <w:kern w:val="0"/>
          <w:szCs w:val="20"/>
          <w:lang w:val="de-DE"/>
        </w:rPr>
        <w:t xml:space="preserve">, and one inactive compound </w:t>
      </w:r>
      <w:r w:rsidRPr="00AD16E0">
        <w:rPr>
          <w:rFonts w:ascii="Times" w:hAnsi="Times" w:cs="Times New Roman"/>
          <w:b/>
          <w:kern w:val="0"/>
          <w:szCs w:val="20"/>
          <w:lang w:val="de-DE"/>
        </w:rPr>
        <w:t>4a</w:t>
      </w:r>
      <w:r w:rsidRPr="00AD16E0">
        <w:rPr>
          <w:rFonts w:ascii="Times" w:hAnsi="Times" w:cs="Times New Roman"/>
          <w:kern w:val="0"/>
          <w:szCs w:val="20"/>
          <w:lang w:val="de-DE"/>
        </w:rPr>
        <w:t xml:space="preserve"> against </w:t>
      </w:r>
      <w:r w:rsidRPr="00AD16E0">
        <w:rPr>
          <w:rFonts w:ascii="Times" w:hAnsi="Times" w:cs="Times New Roman"/>
          <w:kern w:val="0"/>
          <w:szCs w:val="20"/>
          <w:lang w:eastAsia="en-US"/>
        </w:rPr>
        <w:t xml:space="preserve">LXRα by smina (Figure 4). The re-docking of the crystal ligand reproduced crystallographic poses (Figure 4D), which implied that the chosen docking parameters were suitable. The docking scores of </w:t>
      </w:r>
      <w:r w:rsidRPr="00AD16E0">
        <w:rPr>
          <w:rFonts w:ascii="Times" w:hAnsi="Times" w:cs="Times New Roman"/>
          <w:b/>
          <w:kern w:val="0"/>
          <w:szCs w:val="20"/>
          <w:lang w:eastAsia="en-US"/>
        </w:rPr>
        <w:t>4n</w:t>
      </w:r>
      <w:r w:rsidRPr="00AD16E0">
        <w:rPr>
          <w:rFonts w:ascii="Times" w:hAnsi="Times" w:cs="Times New Roman"/>
          <w:kern w:val="0"/>
          <w:szCs w:val="20"/>
          <w:lang w:eastAsia="en-US"/>
        </w:rPr>
        <w:t xml:space="preserve"> and </w:t>
      </w:r>
      <w:r w:rsidRPr="00AD16E0">
        <w:rPr>
          <w:rFonts w:ascii="Times" w:hAnsi="Times" w:cs="Times New Roman"/>
          <w:b/>
          <w:kern w:val="0"/>
          <w:szCs w:val="20"/>
          <w:lang w:eastAsia="en-US"/>
        </w:rPr>
        <w:t>8f</w:t>
      </w:r>
      <w:r w:rsidRPr="00AD16E0">
        <w:rPr>
          <w:rFonts w:ascii="Times" w:hAnsi="Times" w:cs="Times New Roman"/>
          <w:kern w:val="0"/>
          <w:szCs w:val="20"/>
          <w:lang w:eastAsia="en-US"/>
        </w:rPr>
        <w:t xml:space="preserve"> were -8.13 and -10.47 Kcal/mol, while the docked ligand was -12.46 Kcal/mol, implying that </w:t>
      </w:r>
      <w:r w:rsidRPr="00AD16E0">
        <w:rPr>
          <w:rFonts w:ascii="Times" w:hAnsi="Times" w:cs="Times New Roman"/>
          <w:b/>
          <w:kern w:val="0"/>
          <w:szCs w:val="20"/>
          <w:lang w:eastAsia="en-US"/>
        </w:rPr>
        <w:t>4n</w:t>
      </w:r>
      <w:r w:rsidRPr="00AD16E0">
        <w:rPr>
          <w:rFonts w:ascii="Times" w:hAnsi="Times" w:cs="Times New Roman"/>
          <w:kern w:val="0"/>
          <w:szCs w:val="20"/>
          <w:lang w:eastAsia="en-US"/>
        </w:rPr>
        <w:t xml:space="preserve"> and </w:t>
      </w:r>
      <w:r w:rsidRPr="00AD16E0">
        <w:rPr>
          <w:rFonts w:ascii="Times" w:hAnsi="Times" w:cs="Times New Roman"/>
          <w:b/>
          <w:kern w:val="0"/>
          <w:szCs w:val="20"/>
          <w:lang w:eastAsia="en-US"/>
        </w:rPr>
        <w:t>8f</w:t>
      </w:r>
      <w:r w:rsidRPr="00AD16E0">
        <w:rPr>
          <w:rFonts w:ascii="Times" w:hAnsi="Times" w:cs="Times New Roman"/>
          <w:kern w:val="0"/>
          <w:szCs w:val="20"/>
          <w:lang w:eastAsia="en-US"/>
        </w:rPr>
        <w:t xml:space="preserve"> could bind to LXRα with lower binding affinity compared to the crystal ligand. </w:t>
      </w:r>
      <w:r w:rsidRPr="00AD16E0">
        <w:rPr>
          <w:rFonts w:ascii="Times" w:hAnsi="Times" w:cs="Times New Roman"/>
          <w:b/>
          <w:kern w:val="0"/>
          <w:szCs w:val="20"/>
          <w:lang w:eastAsia="en-US"/>
        </w:rPr>
        <w:t>4n</w:t>
      </w:r>
      <w:r w:rsidRPr="00AD16E0">
        <w:rPr>
          <w:rFonts w:ascii="Times" w:hAnsi="Times" w:cs="Times New Roman"/>
          <w:kern w:val="0"/>
          <w:szCs w:val="20"/>
          <w:lang w:eastAsia="en-US"/>
        </w:rPr>
        <w:t xml:space="preserve"> and </w:t>
      </w:r>
      <w:r w:rsidRPr="00AD16E0">
        <w:rPr>
          <w:rFonts w:ascii="Times" w:hAnsi="Times" w:cs="Times New Roman"/>
          <w:b/>
          <w:kern w:val="0"/>
          <w:szCs w:val="20"/>
          <w:lang w:eastAsia="en-US"/>
        </w:rPr>
        <w:t>8f</w:t>
      </w:r>
      <w:r w:rsidRPr="00AD16E0">
        <w:rPr>
          <w:rFonts w:ascii="Times" w:hAnsi="Times" w:cs="Times New Roman"/>
          <w:kern w:val="0"/>
          <w:szCs w:val="20"/>
          <w:lang w:eastAsia="en-US"/>
        </w:rPr>
        <w:t xml:space="preserve"> resided in a hydrophobic sub-pocket composed of M134, F151, F93 and L167 (Figure 4A&amp;B). In addition, </w:t>
      </w:r>
      <w:r w:rsidRPr="00AD16E0">
        <w:rPr>
          <w:rFonts w:ascii="Times" w:hAnsi="Times" w:cs="Times New Roman"/>
          <w:b/>
          <w:kern w:val="0"/>
          <w:szCs w:val="20"/>
          <w:lang w:eastAsia="en-US"/>
        </w:rPr>
        <w:t>4n</w:t>
      </w:r>
      <w:r w:rsidRPr="00AD16E0">
        <w:rPr>
          <w:rFonts w:ascii="Times" w:hAnsi="Times" w:cs="Times New Roman"/>
          <w:kern w:val="0"/>
          <w:szCs w:val="20"/>
          <w:lang w:eastAsia="en-US"/>
        </w:rPr>
        <w:t xml:space="preserve"> and </w:t>
      </w:r>
      <w:r w:rsidRPr="00AD16E0">
        <w:rPr>
          <w:rFonts w:ascii="Times" w:hAnsi="Times" w:cs="Times New Roman"/>
          <w:b/>
          <w:kern w:val="0"/>
          <w:szCs w:val="20"/>
          <w:lang w:eastAsia="en-US"/>
        </w:rPr>
        <w:t>8f</w:t>
      </w:r>
      <w:r w:rsidRPr="00AD16E0">
        <w:rPr>
          <w:rFonts w:ascii="Times" w:hAnsi="Times" w:cs="Times New Roman"/>
          <w:kern w:val="0"/>
          <w:szCs w:val="20"/>
          <w:lang w:eastAsia="en-US"/>
        </w:rPr>
        <w:t xml:space="preserve"> could form hydrogen bonds with T138. Although the inactive compound </w:t>
      </w:r>
      <w:r w:rsidRPr="00AD16E0">
        <w:rPr>
          <w:rFonts w:ascii="Times" w:hAnsi="Times" w:cs="Times New Roman"/>
          <w:b/>
          <w:kern w:val="0"/>
          <w:szCs w:val="20"/>
          <w:lang w:eastAsia="en-US"/>
        </w:rPr>
        <w:t>4a</w:t>
      </w:r>
      <w:r w:rsidRPr="00AD16E0">
        <w:rPr>
          <w:rFonts w:ascii="Times" w:hAnsi="Times" w:cs="Times New Roman"/>
          <w:kern w:val="0"/>
          <w:szCs w:val="20"/>
          <w:lang w:eastAsia="en-US"/>
        </w:rPr>
        <w:t xml:space="preserve"> had a docking score of -8.77 Kcal/mol, it bound to a different sub-pocket from </w:t>
      </w:r>
      <w:r w:rsidRPr="00AD16E0">
        <w:rPr>
          <w:rFonts w:ascii="Times" w:hAnsi="Times" w:cs="Times New Roman"/>
          <w:b/>
          <w:kern w:val="0"/>
          <w:szCs w:val="20"/>
          <w:lang w:eastAsia="en-US"/>
        </w:rPr>
        <w:t>4n</w:t>
      </w:r>
      <w:r w:rsidRPr="00AD16E0">
        <w:rPr>
          <w:rFonts w:ascii="Times" w:hAnsi="Times" w:cs="Times New Roman"/>
          <w:kern w:val="0"/>
          <w:szCs w:val="20"/>
          <w:lang w:eastAsia="en-US"/>
        </w:rPr>
        <w:t xml:space="preserve"> and </w:t>
      </w:r>
      <w:r w:rsidRPr="00AD16E0">
        <w:rPr>
          <w:rFonts w:ascii="Times" w:hAnsi="Times" w:cs="Times New Roman"/>
          <w:b/>
          <w:kern w:val="0"/>
          <w:szCs w:val="20"/>
          <w:lang w:eastAsia="en-US"/>
        </w:rPr>
        <w:t xml:space="preserve">8f </w:t>
      </w:r>
      <w:r w:rsidRPr="00AD16E0">
        <w:rPr>
          <w:rFonts w:ascii="Times" w:hAnsi="Times" w:cs="Times New Roman"/>
          <w:kern w:val="0"/>
          <w:szCs w:val="20"/>
          <w:lang w:eastAsia="en-US"/>
        </w:rPr>
        <w:t xml:space="preserve">(Figure 4A, B &amp; C) and </w:t>
      </w:r>
      <w:r w:rsidRPr="00AD16E0">
        <w:rPr>
          <w:rFonts w:ascii="Times" w:hAnsi="Times" w:cs="Times New Roman"/>
          <w:b/>
          <w:kern w:val="0"/>
          <w:szCs w:val="20"/>
          <w:lang w:eastAsia="en-US"/>
        </w:rPr>
        <w:t>4a</w:t>
      </w:r>
      <w:r w:rsidRPr="00AD16E0">
        <w:rPr>
          <w:rFonts w:ascii="Times" w:hAnsi="Times" w:cs="Times New Roman"/>
          <w:kern w:val="0"/>
          <w:szCs w:val="20"/>
          <w:lang w:eastAsia="en-US"/>
        </w:rPr>
        <w:t xml:space="preserve"> formed a hydrogen bond with H257.</w:t>
      </w:r>
    </w:p>
    <w:p w:rsidR="00AD16E0" w:rsidRPr="00AD16E0" w:rsidRDefault="00AD16E0" w:rsidP="00AD16E0">
      <w:pPr>
        <w:widowControl/>
        <w:spacing w:line="480" w:lineRule="auto"/>
        <w:rPr>
          <w:rFonts w:ascii="Times" w:hAnsi="Times" w:cs="Times New Roman"/>
          <w:kern w:val="0"/>
          <w:szCs w:val="20"/>
        </w:rPr>
      </w:pPr>
      <w:r w:rsidRPr="00AD16E0">
        <w:rPr>
          <w:rFonts w:ascii="Times" w:hAnsi="Times" w:cs="Times New Roman"/>
          <w:noProof/>
          <w:kern w:val="0"/>
          <w:szCs w:val="20"/>
        </w:rPr>
        <w:drawing>
          <wp:inline distT="0" distB="0" distL="0" distR="0" wp14:anchorId="75E187B3" wp14:editId="681FE472">
            <wp:extent cx="5943600" cy="34899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_docking_2.t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489960"/>
                    </a:xfrm>
                    <a:prstGeom prst="rect">
                      <a:avLst/>
                    </a:prstGeom>
                  </pic:spPr>
                </pic:pic>
              </a:graphicData>
            </a:graphic>
          </wp:inline>
        </w:drawing>
      </w:r>
    </w:p>
    <w:p w:rsidR="00AD16E0" w:rsidRPr="00AD16E0" w:rsidRDefault="00AD16E0" w:rsidP="00AD16E0">
      <w:pPr>
        <w:widowControl/>
        <w:spacing w:line="480" w:lineRule="auto"/>
        <w:ind w:firstLine="202"/>
        <w:rPr>
          <w:rFonts w:ascii="Times" w:hAnsi="Times" w:cs="Times New Roman"/>
          <w:kern w:val="0"/>
          <w:szCs w:val="20"/>
        </w:rPr>
      </w:pPr>
      <w:r w:rsidRPr="00AD16E0">
        <w:rPr>
          <w:rFonts w:ascii="Times" w:hAnsi="Times" w:cs="Times New Roman" w:hint="eastAsia"/>
          <w:b/>
          <w:kern w:val="0"/>
          <w:szCs w:val="20"/>
          <w:lang w:val="en-GB" w:eastAsia="en-US"/>
        </w:rPr>
        <w:lastRenderedPageBreak/>
        <w:t>Fig</w:t>
      </w:r>
      <w:r w:rsidRPr="00AD16E0">
        <w:rPr>
          <w:rFonts w:ascii="Times" w:hAnsi="Times" w:cs="Times New Roman" w:hint="eastAsia"/>
          <w:b/>
          <w:kern w:val="0"/>
          <w:szCs w:val="20"/>
          <w:lang w:val="en-GB"/>
        </w:rPr>
        <w:t>u</w:t>
      </w:r>
      <w:r w:rsidRPr="00AD16E0">
        <w:rPr>
          <w:rFonts w:ascii="Times" w:hAnsi="Times" w:cs="Times New Roman"/>
          <w:b/>
          <w:kern w:val="0"/>
          <w:szCs w:val="20"/>
          <w:lang w:val="en-GB" w:eastAsia="en-US"/>
        </w:rPr>
        <w:t>re.</w:t>
      </w:r>
      <w:r w:rsidRPr="00AD16E0">
        <w:rPr>
          <w:rFonts w:ascii="Times" w:hAnsi="Times" w:cs="Times New Roman" w:hint="eastAsia"/>
          <w:b/>
          <w:kern w:val="0"/>
          <w:szCs w:val="20"/>
          <w:lang w:val="en-GB" w:eastAsia="en-US"/>
        </w:rPr>
        <w:t xml:space="preserve"> </w:t>
      </w:r>
      <w:r w:rsidRPr="00AD16E0">
        <w:rPr>
          <w:rFonts w:ascii="Times" w:hAnsi="Times" w:cs="Times New Roman"/>
          <w:b/>
          <w:kern w:val="0"/>
          <w:szCs w:val="20"/>
          <w:lang w:val="en-GB" w:eastAsia="en-US"/>
        </w:rPr>
        <w:t>4</w:t>
      </w:r>
      <w:r w:rsidRPr="00AD16E0">
        <w:rPr>
          <w:rFonts w:ascii="Times" w:hAnsi="Times" w:cs="Times New Roman"/>
          <w:kern w:val="0"/>
          <w:szCs w:val="20"/>
          <w:lang w:val="en-GB" w:eastAsia="en-US"/>
        </w:rPr>
        <w:t>:</w:t>
      </w:r>
      <w:r w:rsidRPr="00AD16E0">
        <w:rPr>
          <w:rFonts w:ascii="Times" w:hAnsi="Times" w:cs="Times New Roman" w:hint="eastAsia"/>
          <w:kern w:val="0"/>
          <w:szCs w:val="20"/>
          <w:lang w:val="en-GB" w:eastAsia="en-US"/>
        </w:rPr>
        <w:t xml:space="preserve"> </w:t>
      </w:r>
      <w:r w:rsidRPr="00AD16E0">
        <w:rPr>
          <w:rFonts w:ascii="Times" w:hAnsi="Times" w:cs="Times New Roman"/>
          <w:b/>
          <w:kern w:val="0"/>
          <w:szCs w:val="20"/>
          <w:lang w:val="en-GB" w:eastAsia="en-US"/>
        </w:rPr>
        <w:t>The docking mode of compound 4n, 8f and 4a against LXRα.</w:t>
      </w:r>
      <w:r w:rsidRPr="00AD16E0">
        <w:rPr>
          <w:rFonts w:ascii="Times" w:hAnsi="Times" w:cs="Times New Roman"/>
          <w:kern w:val="0"/>
          <w:szCs w:val="20"/>
          <w:lang w:val="en-GB" w:eastAsia="en-US"/>
        </w:rPr>
        <w:t xml:space="preserve"> </w:t>
      </w:r>
      <w:r w:rsidRPr="00AD16E0">
        <w:rPr>
          <w:rFonts w:ascii="Times" w:hAnsi="Times" w:cs="Times New Roman"/>
          <w:kern w:val="0"/>
          <w:szCs w:val="20"/>
          <w:lang w:val="de-DE" w:eastAsia="en-US"/>
        </w:rPr>
        <w:t xml:space="preserve">LXRα (PDB ID: 5HJS) is shown in gray cartoon, essential residues in gray sticks, compounds </w:t>
      </w:r>
      <w:r w:rsidRPr="00AD16E0">
        <w:rPr>
          <w:rFonts w:ascii="Times" w:hAnsi="Times" w:cs="Times New Roman"/>
          <w:b/>
          <w:kern w:val="0"/>
          <w:szCs w:val="20"/>
          <w:lang w:val="de-DE" w:eastAsia="en-US"/>
        </w:rPr>
        <w:t>4n</w:t>
      </w:r>
      <w:r w:rsidRPr="00AD16E0">
        <w:rPr>
          <w:rFonts w:ascii="Times" w:hAnsi="Times" w:cs="Times New Roman"/>
          <w:kern w:val="0"/>
          <w:szCs w:val="20"/>
          <w:lang w:val="de-DE" w:eastAsia="en-US"/>
        </w:rPr>
        <w:t xml:space="preserve"> (A), </w:t>
      </w:r>
      <w:r w:rsidRPr="00AD16E0">
        <w:rPr>
          <w:rFonts w:ascii="Times" w:hAnsi="Times" w:cs="Times New Roman"/>
          <w:b/>
          <w:kern w:val="0"/>
          <w:szCs w:val="20"/>
          <w:lang w:val="de-DE" w:eastAsia="en-US"/>
        </w:rPr>
        <w:t>8f</w:t>
      </w:r>
      <w:r w:rsidRPr="00AD16E0">
        <w:rPr>
          <w:rFonts w:ascii="Times" w:hAnsi="Times" w:cs="Times New Roman"/>
          <w:kern w:val="0"/>
          <w:szCs w:val="20"/>
          <w:lang w:val="de-DE" w:eastAsia="en-US"/>
        </w:rPr>
        <w:t xml:space="preserve"> (B), </w:t>
      </w:r>
      <w:r w:rsidRPr="00AD16E0">
        <w:rPr>
          <w:rFonts w:ascii="Times" w:hAnsi="Times" w:cs="Times New Roman"/>
          <w:b/>
          <w:kern w:val="0"/>
          <w:szCs w:val="20"/>
          <w:lang w:val="de-DE" w:eastAsia="en-US"/>
        </w:rPr>
        <w:t>4a</w:t>
      </w:r>
      <w:r w:rsidRPr="00AD16E0">
        <w:rPr>
          <w:rFonts w:ascii="Times" w:hAnsi="Times" w:cs="Times New Roman"/>
          <w:kern w:val="0"/>
          <w:szCs w:val="20"/>
          <w:lang w:val="de-DE" w:eastAsia="en-US"/>
        </w:rPr>
        <w:t xml:space="preserve"> (C) and docked ligand (D) in yellow sticks. The crystal ligand (D) is shown in green sticks. The polar interactions between the compounds and LXRα are shown in black dashes and labled in </w:t>
      </w:r>
      <w:r w:rsidRPr="00AD16E0">
        <w:rPr>
          <w:rFonts w:cs="Times New Roman"/>
          <w:kern w:val="0"/>
          <w:szCs w:val="20"/>
          <w:lang w:val="de-DE" w:eastAsia="en-US"/>
        </w:rPr>
        <w:t>Å</w:t>
      </w:r>
      <w:r w:rsidRPr="00AD16E0">
        <w:rPr>
          <w:rFonts w:ascii="Times" w:hAnsi="Times" w:cs="Times New Roman"/>
          <w:kern w:val="0"/>
          <w:szCs w:val="20"/>
          <w:lang w:val="de-DE" w:eastAsia="en-US"/>
        </w:rPr>
        <w:t xml:space="preserve">. </w:t>
      </w:r>
    </w:p>
    <w:p w:rsidR="00523370" w:rsidRDefault="00523370"/>
    <w:p w:rsidR="00AD16E0" w:rsidRDefault="00AD16E0" w:rsidP="00AD16E0">
      <w:pPr>
        <w:pStyle w:val="TAMainText"/>
        <w:ind w:firstLine="0"/>
        <w:rPr>
          <w:b/>
          <w:lang w:val="de-DE"/>
        </w:rPr>
      </w:pPr>
      <w:r>
        <w:rPr>
          <w:rFonts w:hint="eastAsia"/>
          <w:b/>
          <w:lang w:val="de-DE" w:eastAsia="zh-CN"/>
        </w:rPr>
        <w:t>Methods</w:t>
      </w:r>
      <w:bookmarkStart w:id="0" w:name="_GoBack"/>
      <w:bookmarkEnd w:id="0"/>
    </w:p>
    <w:p w:rsidR="00AD16E0" w:rsidRDefault="00AD16E0" w:rsidP="00AD16E0">
      <w:pPr>
        <w:pStyle w:val="TAMainText"/>
        <w:ind w:firstLine="0"/>
        <w:rPr>
          <w:lang w:val="de-DE"/>
        </w:rPr>
      </w:pPr>
      <w:r>
        <w:rPr>
          <w:b/>
          <w:lang w:val="de-DE"/>
        </w:rPr>
        <w:t>Molecular docking</w:t>
      </w:r>
      <w:r w:rsidRPr="00343B92">
        <w:rPr>
          <w:rFonts w:hint="eastAsia"/>
          <w:b/>
          <w:lang w:val="de-DE"/>
        </w:rPr>
        <w:t>.</w:t>
      </w:r>
      <w:r w:rsidRPr="00343B92">
        <w:rPr>
          <w:lang w:val="de-DE"/>
        </w:rPr>
        <w:t xml:space="preserve"> </w:t>
      </w:r>
    </w:p>
    <w:p w:rsidR="00AD16E0" w:rsidRPr="005405A8" w:rsidRDefault="00AD16E0" w:rsidP="00AD16E0">
      <w:pPr>
        <w:pStyle w:val="TAMainText"/>
        <w:rPr>
          <w:szCs w:val="24"/>
        </w:rPr>
      </w:pPr>
      <w:r>
        <w:rPr>
          <w:lang w:val="de-DE"/>
        </w:rPr>
        <w:t xml:space="preserve">There are 7 crystal </w:t>
      </w:r>
      <w:r w:rsidRPr="00343B92">
        <w:t>LXRα</w:t>
      </w:r>
      <w:r>
        <w:t xml:space="preserve"> structures in protein data bank (PDB), i.e., PDB ID: 1UHL</w:t>
      </w:r>
      <w:r>
        <w:rPr>
          <w:rFonts w:hint="eastAsia"/>
          <w:lang w:eastAsia="zh-CN"/>
        </w:rPr>
        <w:t>,</w:t>
      </w:r>
      <w:r>
        <w:rPr>
          <w:lang w:eastAsia="zh-CN"/>
        </w:rPr>
        <w:t xml:space="preserve"> </w:t>
      </w:r>
      <w:r>
        <w:t>3IPQ,</w:t>
      </w:r>
      <w:r>
        <w:rPr>
          <w:rFonts w:hint="eastAsia"/>
          <w:lang w:eastAsia="zh-CN"/>
        </w:rPr>
        <w:t xml:space="preserve"> </w:t>
      </w:r>
      <w:r>
        <w:t>3IPS, 3IPU</w:t>
      </w:r>
      <w:r>
        <w:rPr>
          <w:rFonts w:hint="eastAsia"/>
          <w:lang w:eastAsia="zh-CN"/>
        </w:rPr>
        <w:t>,</w:t>
      </w:r>
      <w:r>
        <w:rPr>
          <w:lang w:eastAsia="zh-CN"/>
        </w:rPr>
        <w:t xml:space="preserve"> </w:t>
      </w:r>
      <w:r>
        <w:t>5AVI</w:t>
      </w:r>
      <w:r>
        <w:rPr>
          <w:rFonts w:hint="eastAsia"/>
          <w:lang w:eastAsia="zh-CN"/>
        </w:rPr>
        <w:t>,</w:t>
      </w:r>
      <w:r>
        <w:rPr>
          <w:lang w:eastAsia="zh-CN"/>
        </w:rPr>
        <w:t xml:space="preserve"> </w:t>
      </w:r>
      <w:r>
        <w:t xml:space="preserve">5AVL, and 5HJS. 5HJS, with the highest resolution, </w:t>
      </w:r>
      <w:r w:rsidRPr="00803244">
        <w:t>1.72 Å</w:t>
      </w:r>
      <w:r>
        <w:t xml:space="preserve">, was chosen for docking. Compounds </w:t>
      </w:r>
      <w:r w:rsidRPr="0061267A">
        <w:rPr>
          <w:b/>
        </w:rPr>
        <w:t>4n</w:t>
      </w:r>
      <w:r>
        <w:t xml:space="preserve">, </w:t>
      </w:r>
      <w:r w:rsidRPr="0061267A">
        <w:rPr>
          <w:b/>
        </w:rPr>
        <w:t>8f</w:t>
      </w:r>
      <w:r>
        <w:t xml:space="preserve"> and </w:t>
      </w:r>
      <w:r w:rsidRPr="0061267A">
        <w:rPr>
          <w:b/>
        </w:rPr>
        <w:t>4a</w:t>
      </w:r>
      <w:r>
        <w:t xml:space="preserve"> </w:t>
      </w:r>
      <w:r>
        <w:rPr>
          <w:szCs w:val="24"/>
        </w:rPr>
        <w:t xml:space="preserve">were docked to </w:t>
      </w:r>
      <w:r w:rsidRPr="00343B92">
        <w:t>LXRα</w:t>
      </w:r>
      <w:r>
        <w:rPr>
          <w:szCs w:val="24"/>
        </w:rPr>
        <w:t xml:space="preserve"> by smina,</w:t>
      </w:r>
      <w:r>
        <w:rPr>
          <w:szCs w:val="24"/>
        </w:rPr>
        <w:fldChar w:fldCharType="begin"/>
      </w:r>
      <w:r>
        <w:rPr>
          <w:szCs w:val="24"/>
        </w:rPr>
        <w:instrText xml:space="preserve"> ADDIN EN.CITE &lt;EndNote&gt;&lt;Cite&gt;&lt;Author&gt;Koes&lt;/Author&gt;&lt;Year&gt;2013&lt;/Year&gt;&lt;RecNum&gt;1895&lt;/RecNum&gt;&lt;DisplayText&gt;&lt;style face="superscript"&gt;1&lt;/style&gt;&lt;/DisplayText&gt;&lt;record&gt;&lt;rec-number&gt;1895&lt;/rec-number&gt;&lt;foreign-keys&gt;&lt;key app="EN" db-id="ssfzx5rr79fpscepxpexxaen0dssvwe55d9z" timestamp="1580098180"&gt;1895&lt;/key&gt;&lt;/foreign-keys&gt;&lt;ref-type name="Journal Article"&gt;17&lt;/ref-type&gt;&lt;contributors&gt;&lt;authors&gt;&lt;author&gt;Koes, David Ryan&lt;/author&gt;&lt;author&gt;Baumgartner, Matthew P.&lt;/author&gt;&lt;author&gt;Camacho, Carlos J.&lt;/author&gt;&lt;/authors&gt;&lt;/contributors&gt;&lt;titles&gt;&lt;title&gt;Lessons Learned in Empirical Scoring with smina from the CSAR 2011 Benchmarking Exercise&lt;/title&gt;&lt;secondary-title&gt;Journal of Chemical Information and Modeling&lt;/secondary-title&gt;&lt;/titles&gt;&lt;periodical&gt;&lt;full-title&gt;Journal of Chemical Information and Modeling&lt;/full-title&gt;&lt;abbr-1&gt;J. Chem. Inf. Model.&lt;/abbr-1&gt;&lt;abbr-2&gt;J Chem Inf Model&lt;/abbr-2&gt;&lt;abbr-3&gt;Journal of Chemical Information &amp;amp; Modeling&lt;/abbr-3&gt;&lt;/periodical&gt;&lt;pages&gt;1893-1904&lt;/pages&gt;&lt;volume&gt;53&lt;/volume&gt;&lt;number&gt;8&lt;/number&gt;&lt;dates&gt;&lt;year&gt;2013&lt;/year&gt;&lt;pub-dates&gt;&lt;date&gt;2013/08/26&lt;/date&gt;&lt;/pub-dates&gt;&lt;/dates&gt;&lt;publisher&gt;American Chemical Society&lt;/publisher&gt;&lt;isbn&gt;1549-9596&lt;/isbn&gt;&lt;label&gt;&lt;style face="normal" font="default" size="100%"&gt;smina&lt;/style&gt;&lt;style face="normal" font="default" charset="134" size="100%"</w:instrText>
      </w:r>
      <w:r>
        <w:rPr>
          <w:rFonts w:hint="eastAsia"/>
          <w:szCs w:val="24"/>
        </w:rPr>
        <w:instrText>&gt;</w:instrText>
      </w:r>
      <w:r>
        <w:rPr>
          <w:rFonts w:hint="eastAsia"/>
          <w:szCs w:val="24"/>
        </w:rPr>
        <w:instrText>引用</w:instrText>
      </w:r>
      <w:r>
        <w:rPr>
          <w:rFonts w:hint="eastAsia"/>
          <w:szCs w:val="24"/>
        </w:rPr>
        <w:instrText>&lt;/style&gt;&lt;/label&gt;&lt;urls&gt;&lt;related-urls&gt;&lt;url&gt;https://doi.org/10.1021/ci300604z&lt;/url&gt;&lt;/related-urls&gt;&lt;/urls&gt;&lt;electronic-resource-num&gt;10.1021/ci300604z&lt;/electronic-resource-num&gt;&lt;/record&gt;&lt;/Cite&gt;&lt;/EndNote&gt;</w:instrText>
      </w:r>
      <w:r>
        <w:rPr>
          <w:szCs w:val="24"/>
        </w:rPr>
        <w:fldChar w:fldCharType="separate"/>
      </w:r>
      <w:r w:rsidRPr="006C2C79">
        <w:rPr>
          <w:noProof/>
          <w:szCs w:val="24"/>
          <w:vertAlign w:val="superscript"/>
        </w:rPr>
        <w:t>1</w:t>
      </w:r>
      <w:r>
        <w:rPr>
          <w:szCs w:val="24"/>
        </w:rPr>
        <w:fldChar w:fldCharType="end"/>
      </w:r>
      <w:r>
        <w:rPr>
          <w:szCs w:val="24"/>
        </w:rPr>
        <w:t xml:space="preserve"> which is a fork of AutoDock Vina</w:t>
      </w:r>
      <w:r>
        <w:rPr>
          <w:szCs w:val="24"/>
        </w:rPr>
        <w:fldChar w:fldCharType="begin"/>
      </w:r>
      <w:r>
        <w:rPr>
          <w:szCs w:val="24"/>
        </w:rPr>
        <w:instrText xml:space="preserve"> ADDIN EN.CITE &lt;EndNote&gt;&lt;Cite&gt;&lt;Author&gt;Trott&lt;/Author&gt;&lt;Year&gt;2010&lt;/Year&gt;&lt;RecNum&gt;1896&lt;/RecNum&gt;&lt;DisplayText&gt;&lt;style face="superscript"&gt;2&lt;/style&gt;&lt;/DisplayText&gt;&lt;record&gt;&lt;rec-number&gt;1896&lt;/rec-number&gt;&lt;foreign-keys&gt;&lt;key app="EN" db-id="ssfzx5rr79fpscepxpexxaen0dssvwe55d9z" timestamp="1580098897"&gt;1896&lt;/key&gt;&lt;/foreign-keys&gt;&lt;ref-type name="Journal Article"&gt;17&lt;/ref-type&gt;&lt;contributors&gt;&lt;authors&gt;&lt;author&gt;Trott, Oleg&lt;/author&gt;&lt;author&gt;Olson, Arthur J.&lt;/author&gt;&lt;/authors&gt;&lt;/contributors&gt;&lt;titles&gt;&lt;title&gt;AutoDock Vina: Improving the speed and accuracy of docking with a new scoring function, efficient optimization, and multithreading&lt;/title&gt;&lt;secondary-title&gt;Journal of Computational Chemistry&lt;/secondary-title&gt;&lt;/titles&gt;&lt;periodical&gt;&lt;full-title&gt;Journal of Computational Chemistry&lt;/full-title&gt;&lt;abbr-1&gt;J. Comput. Chem.&lt;/abbr-1&gt;&lt;abbr-2&gt;J Comput Chem&lt;/abbr-2&gt;&lt;/periodical&gt;&lt;pages&gt;455-461&lt;/pages&gt;&lt;volume&gt;31&lt;/volume&gt;&lt;number&gt;2&lt;/number&gt;&lt;dates&gt;&lt;year&gt;2010&lt;/year&gt;&lt;/dates&gt;&lt;isbn&gt;0192-8651&lt;/isbn&gt;&lt;urls&gt;&lt;related-urls&gt;&lt;url&gt;https://onlinelibrary.wiley.com/doi/abs/10.1002/jcc.21334&lt;/url&gt;&lt;/related-urls&gt;&lt;/urls&gt;&lt;electronic-resource-num&gt;10.1002/jcc.21334&lt;/electronic-resource-num&gt;&lt;/record&gt;&lt;/Cite&gt;&lt;/EndNote&gt;</w:instrText>
      </w:r>
      <w:r>
        <w:rPr>
          <w:szCs w:val="24"/>
        </w:rPr>
        <w:fldChar w:fldCharType="separate"/>
      </w:r>
      <w:r w:rsidRPr="006C2C79">
        <w:rPr>
          <w:noProof/>
          <w:szCs w:val="24"/>
          <w:vertAlign w:val="superscript"/>
        </w:rPr>
        <w:t>2</w:t>
      </w:r>
      <w:r>
        <w:rPr>
          <w:szCs w:val="24"/>
        </w:rPr>
        <w:fldChar w:fldCharType="end"/>
      </w:r>
      <w:r w:rsidRPr="00976F52">
        <w:rPr>
          <w:szCs w:val="24"/>
        </w:rPr>
        <w:t>.</w:t>
      </w:r>
      <w:r>
        <w:rPr>
          <w:szCs w:val="24"/>
        </w:rPr>
        <w:t xml:space="preserve"> </w:t>
      </w:r>
      <w:r>
        <w:rPr>
          <w:lang w:eastAsia="zh-CN"/>
        </w:rPr>
        <w:t xml:space="preserve">All </w:t>
      </w:r>
      <w:r w:rsidRPr="00F3012B">
        <w:rPr>
          <w:lang w:eastAsia="zh-CN"/>
        </w:rPr>
        <w:t>compounds w</w:t>
      </w:r>
      <w:r>
        <w:rPr>
          <w:lang w:eastAsia="zh-CN"/>
        </w:rPr>
        <w:t xml:space="preserve">ere pre-processed by the Ligprep in </w:t>
      </w:r>
      <w:r w:rsidRPr="00F3012B">
        <w:rPr>
          <w:lang w:eastAsia="zh-CN"/>
        </w:rPr>
        <w:t>Schrödinger</w:t>
      </w:r>
      <w:r>
        <w:rPr>
          <w:lang w:eastAsia="zh-CN"/>
        </w:rPr>
        <w:t xml:space="preserve"> 2020 (</w:t>
      </w:r>
      <w:r w:rsidRPr="00F3012B">
        <w:rPr>
          <w:lang w:eastAsia="zh-CN"/>
        </w:rPr>
        <w:t>Schrödinger</w:t>
      </w:r>
      <w:r>
        <w:rPr>
          <w:lang w:eastAsia="zh-CN"/>
        </w:rPr>
        <w:t xml:space="preserve"> LLC, New York, NY, USA),</w:t>
      </w:r>
      <w:r w:rsidRPr="00F3012B">
        <w:rPr>
          <w:lang w:eastAsia="zh-CN"/>
        </w:rPr>
        <w:t xml:space="preserve"> </w:t>
      </w:r>
      <w:r>
        <w:rPr>
          <w:lang w:eastAsia="zh-CN"/>
        </w:rPr>
        <w:t>with Epik</w:t>
      </w:r>
      <w:r w:rsidRPr="00F3012B">
        <w:rPr>
          <w:lang w:eastAsia="zh-CN"/>
        </w:rPr>
        <w:t xml:space="preserve"> to generate the proper protonation</w:t>
      </w:r>
      <w:r>
        <w:rPr>
          <w:lang w:eastAsia="zh-CN"/>
        </w:rPr>
        <w:t xml:space="preserve"> states at pH 7.0.</w:t>
      </w:r>
      <w:r>
        <w:rPr>
          <w:rFonts w:hint="eastAsia"/>
          <w:szCs w:val="24"/>
          <w:lang w:eastAsia="zh-CN"/>
        </w:rPr>
        <w:t xml:space="preserve"> </w:t>
      </w:r>
      <w:r>
        <w:rPr>
          <w:szCs w:val="24"/>
        </w:rPr>
        <w:t xml:space="preserve">Only chain A of the 5HJS was used for docking, crystal ligand was preserved and all the water molecules were dropped. The crystal ligand was used to define the grid with the parameter </w:t>
      </w:r>
      <w:r w:rsidRPr="001618C8">
        <w:rPr>
          <w:szCs w:val="24"/>
        </w:rPr>
        <w:t>--autobox_ligand</w:t>
      </w:r>
      <w:r>
        <w:rPr>
          <w:szCs w:val="24"/>
        </w:rPr>
        <w:t xml:space="preserve">. The </w:t>
      </w:r>
      <w:r w:rsidRPr="007C696C">
        <w:rPr>
          <w:szCs w:val="24"/>
        </w:rPr>
        <w:t>random seed</w:t>
      </w:r>
      <w:r>
        <w:rPr>
          <w:szCs w:val="24"/>
        </w:rPr>
        <w:t xml:space="preserve"> was </w:t>
      </w:r>
      <w:r w:rsidRPr="004D2B8B">
        <w:rPr>
          <w:szCs w:val="24"/>
        </w:rPr>
        <w:t>explicit</w:t>
      </w:r>
      <w:r>
        <w:rPr>
          <w:szCs w:val="24"/>
        </w:rPr>
        <w:t>ly</w:t>
      </w:r>
      <w:r w:rsidRPr="004D2B8B">
        <w:rPr>
          <w:szCs w:val="24"/>
        </w:rPr>
        <w:t xml:space="preserve"> </w:t>
      </w:r>
      <w:r>
        <w:rPr>
          <w:szCs w:val="24"/>
        </w:rPr>
        <w:t>set to 0 and all other docking parameters were set as default. F</w:t>
      </w:r>
      <w:r w:rsidRPr="005405A8">
        <w:rPr>
          <w:szCs w:val="24"/>
        </w:rPr>
        <w:t xml:space="preserve">or each compound, the </w:t>
      </w:r>
      <w:r>
        <w:rPr>
          <w:szCs w:val="24"/>
        </w:rPr>
        <w:t>docking conformation</w:t>
      </w:r>
      <w:r w:rsidRPr="005405A8">
        <w:rPr>
          <w:szCs w:val="24"/>
        </w:rPr>
        <w:t xml:space="preserve"> with the best docking score was chosen for further analysis.</w:t>
      </w:r>
    </w:p>
    <w:p w:rsidR="00AD16E0" w:rsidRDefault="00AD16E0"/>
    <w:p w:rsidR="00AD16E0" w:rsidRPr="005405A8" w:rsidRDefault="00AD16E0" w:rsidP="00AD16E0">
      <w:pPr>
        <w:pStyle w:val="EndNoteBibliography"/>
        <w:spacing w:after="0"/>
      </w:pPr>
      <w:r>
        <w:fldChar w:fldCharType="begin"/>
      </w:r>
      <w:r>
        <w:instrText xml:space="preserve"> ADDIN EN.REFLIST </w:instrText>
      </w:r>
      <w:r>
        <w:fldChar w:fldCharType="separate"/>
      </w:r>
      <w:r w:rsidRPr="005405A8">
        <w:t>1.</w:t>
      </w:r>
      <w:r w:rsidRPr="005405A8">
        <w:tab/>
        <w:t xml:space="preserve">David Ryan Koes, Matthew P. Baumgartner, Carlos J. Camacho, Lessons Learned in Empirical Scoring with smina from the CSAR 2011 Benchmarking Exercise. </w:t>
      </w:r>
      <w:r w:rsidRPr="005405A8">
        <w:rPr>
          <w:i/>
        </w:rPr>
        <w:t xml:space="preserve">J. Chem. Inf. Model. </w:t>
      </w:r>
      <w:r w:rsidRPr="005405A8">
        <w:rPr>
          <w:b/>
        </w:rPr>
        <w:t>2013,</w:t>
      </w:r>
      <w:r w:rsidRPr="005405A8">
        <w:t xml:space="preserve"> </w:t>
      </w:r>
      <w:r w:rsidRPr="005405A8">
        <w:rPr>
          <w:i/>
        </w:rPr>
        <w:t>53</w:t>
      </w:r>
      <w:r w:rsidRPr="005405A8">
        <w:t xml:space="preserve"> (8), 1893-1904.</w:t>
      </w:r>
    </w:p>
    <w:p w:rsidR="00AD16E0" w:rsidRPr="005405A8" w:rsidRDefault="00AD16E0" w:rsidP="00AD16E0">
      <w:pPr>
        <w:pStyle w:val="EndNoteBibliography"/>
      </w:pPr>
      <w:r w:rsidRPr="005405A8">
        <w:lastRenderedPageBreak/>
        <w:t>2.</w:t>
      </w:r>
      <w:r w:rsidRPr="005405A8">
        <w:tab/>
        <w:t xml:space="preserve">Oleg Trott, Arthur J. Olson, AutoDock Vina: Improving the speed and accuracy of docking with a new scoring function, efficient optimization, and multithreading. </w:t>
      </w:r>
      <w:r w:rsidRPr="005405A8">
        <w:rPr>
          <w:i/>
        </w:rPr>
        <w:t xml:space="preserve">J. Comput. Chem. </w:t>
      </w:r>
      <w:r w:rsidRPr="005405A8">
        <w:rPr>
          <w:b/>
        </w:rPr>
        <w:t>2010,</w:t>
      </w:r>
      <w:r w:rsidRPr="005405A8">
        <w:t xml:space="preserve"> </w:t>
      </w:r>
      <w:r w:rsidRPr="005405A8">
        <w:rPr>
          <w:i/>
        </w:rPr>
        <w:t>31</w:t>
      </w:r>
      <w:r w:rsidRPr="005405A8">
        <w:t xml:space="preserve"> (2), 455-461.</w:t>
      </w:r>
    </w:p>
    <w:p w:rsidR="00AD16E0" w:rsidRPr="00AD16E0" w:rsidRDefault="00AD16E0" w:rsidP="00AD16E0">
      <w:pPr>
        <w:rPr>
          <w:rFonts w:hint="eastAsia"/>
        </w:rPr>
      </w:pPr>
      <w:r>
        <w:fldChar w:fldCharType="end"/>
      </w:r>
    </w:p>
    <w:sectPr w:rsidR="00AD16E0" w:rsidRPr="00AD16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E0"/>
    <w:rsid w:val="00523370"/>
    <w:rsid w:val="007B10BD"/>
    <w:rsid w:val="008B3B6D"/>
    <w:rsid w:val="00A61FE9"/>
    <w:rsid w:val="00AD16E0"/>
    <w:rsid w:val="00C05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82A99"/>
  <w15:chartTrackingRefBased/>
  <w15:docId w15:val="{423E5742-B342-4BBD-948D-7D5038CD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FE9"/>
    <w:pPr>
      <w:widowControl w:val="0"/>
      <w:spacing w:line="360" w:lineRule="auto"/>
      <w:jc w:val="both"/>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MainText">
    <w:name w:val="TA_Main_Text"/>
    <w:basedOn w:val="a"/>
    <w:link w:val="TAMainText0"/>
    <w:rsid w:val="00AD16E0"/>
    <w:pPr>
      <w:widowControl/>
      <w:spacing w:line="480" w:lineRule="auto"/>
      <w:ind w:firstLine="202"/>
    </w:pPr>
    <w:rPr>
      <w:rFonts w:ascii="Times" w:eastAsiaTheme="minorEastAsia" w:hAnsi="Times" w:cs="Times New Roman"/>
      <w:kern w:val="0"/>
      <w:szCs w:val="20"/>
      <w:lang w:eastAsia="en-US"/>
    </w:rPr>
  </w:style>
  <w:style w:type="character" w:customStyle="1" w:styleId="TAMainText0">
    <w:name w:val="TA_Main_Text 字符"/>
    <w:basedOn w:val="a0"/>
    <w:link w:val="TAMainText"/>
    <w:rsid w:val="00AD16E0"/>
    <w:rPr>
      <w:rFonts w:ascii="Times" w:hAnsi="Times" w:cs="Times New Roman"/>
      <w:kern w:val="0"/>
      <w:sz w:val="24"/>
      <w:szCs w:val="20"/>
      <w:lang w:eastAsia="en-US"/>
    </w:rPr>
  </w:style>
  <w:style w:type="paragraph" w:customStyle="1" w:styleId="EndNoteBibliography">
    <w:name w:val="EndNote Bibliography"/>
    <w:basedOn w:val="a"/>
    <w:link w:val="EndNoteBibliography0"/>
    <w:rsid w:val="00AD16E0"/>
    <w:pPr>
      <w:widowControl/>
      <w:spacing w:after="200" w:line="240" w:lineRule="auto"/>
    </w:pPr>
    <w:rPr>
      <w:rFonts w:ascii="Times" w:eastAsiaTheme="minorEastAsia" w:hAnsi="Times" w:cs="Times"/>
      <w:noProof/>
      <w:kern w:val="0"/>
      <w:szCs w:val="20"/>
      <w:lang w:eastAsia="en-US"/>
    </w:rPr>
  </w:style>
  <w:style w:type="character" w:customStyle="1" w:styleId="EndNoteBibliography0">
    <w:name w:val="EndNote Bibliography 字符"/>
    <w:basedOn w:val="a0"/>
    <w:link w:val="EndNoteBibliography"/>
    <w:rsid w:val="00AD16E0"/>
    <w:rPr>
      <w:rFonts w:ascii="Times" w:hAnsi="Times" w:cs="Times"/>
      <w:noProof/>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Zhijian</dc:creator>
  <cp:keywords/>
  <dc:description/>
  <cp:lastModifiedBy>Xu Zhijian</cp:lastModifiedBy>
  <cp:revision>1</cp:revision>
  <dcterms:created xsi:type="dcterms:W3CDTF">2022-05-07T01:05:00Z</dcterms:created>
  <dcterms:modified xsi:type="dcterms:W3CDTF">2022-05-07T01:07:00Z</dcterms:modified>
</cp:coreProperties>
</file>