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kern w:val="0"/>
          <w:sz w:val="16"/>
          <w:szCs w:val="16"/>
          <w:lang w:val="en-US" w:eastAsia="zh-CN" w:bidi="ar"/>
        </w:rPr>
        <w:t>原文链接：</w:t>
      </w:r>
      <w:r>
        <w:rPr>
          <w:rFonts w:ascii="宋体" w:hAnsi="宋体" w:eastAsia="宋体" w:cs="宋体"/>
          <w:kern w:val="0"/>
          <w:sz w:val="16"/>
          <w:szCs w:val="16"/>
          <w:u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16"/>
          <w:szCs w:val="16"/>
          <w:u w:val="none"/>
          <w:lang w:val="en-US" w:eastAsia="zh-CN" w:bidi="ar"/>
        </w:rPr>
        <w:instrText xml:space="preserve"> HYPERLINK "https://zhuanlan.zhihu.com/p/686162284" </w:instrText>
      </w:r>
      <w:r>
        <w:rPr>
          <w:rFonts w:ascii="宋体" w:hAnsi="宋体" w:eastAsia="宋体" w:cs="宋体"/>
          <w:kern w:val="0"/>
          <w:sz w:val="16"/>
          <w:szCs w:val="16"/>
          <w:u w:val="none"/>
          <w:lang w:val="en-US" w:eastAsia="zh-CN" w:bidi="ar"/>
        </w:rPr>
        <w:fldChar w:fldCharType="separate"/>
      </w:r>
      <w:r>
        <w:rPr>
          <w:rStyle w:val="4"/>
          <w:rFonts w:ascii="宋体" w:hAnsi="宋体" w:eastAsia="宋体" w:cs="宋体"/>
          <w:color w:val="003884"/>
          <w:sz w:val="16"/>
          <w:szCs w:val="16"/>
          <w:u w:val="none"/>
        </w:rPr>
        <w:t>https://zhuanlan.zhihu.com/p/686162284</w:t>
      </w:r>
      <w:r>
        <w:rPr>
          <w:rFonts w:ascii="宋体" w:hAnsi="宋体" w:eastAsia="宋体" w:cs="宋体"/>
          <w:kern w:val="0"/>
          <w:sz w:val="16"/>
          <w:szCs w:val="16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kern w:val="0"/>
          <w:sz w:val="16"/>
          <w:szCs w:val="16"/>
          <w:lang w:val="en-US" w:eastAsia="zh-CN" w:bidi="ar"/>
        </w:rPr>
        <w:drawing>
          <wp:inline distT="0" distB="0" distL="114300" distR="114300">
            <wp:extent cx="6858000" cy="6457950"/>
            <wp:effectExtent l="0" t="0" r="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u w:val="single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43550" cy="3324225"/>
            <wp:effectExtent l="0" t="0" r="3810" b="13335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u w:val="singl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u w:val="single"/>
          <w:shd w:val="clear" w:fill="FFFFFF"/>
          <w:lang w:val="en-US" w:eastAsia="zh-CN" w:bidi="ar"/>
        </w:rPr>
        <w:t>π堆积相互作用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1、边对面（edge-to-face）和面对面（face-to-face）的互作出现频率接近（分别为8704和8537对）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2、和</w:t>
      </w:r>
      <w:r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shd w:val="clear" w:fill="FFFFFF"/>
          <w:lang w:val="en-US" w:eastAsia="zh-CN" w:bidi="ar"/>
        </w:rPr>
        <w:t>配体的芳香环</w:t>
      </w: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形成π堆积相互作用的</w:t>
      </w:r>
      <w:r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shd w:val="clear" w:fill="FFFFFF"/>
          <w:lang w:val="en-US" w:eastAsia="zh-CN" w:bidi="ar"/>
        </w:rPr>
        <w:t>氨基酸芳香环数量</w:t>
      </w: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：苯丙氨酸&gt;是酪氨酸（36.8%）&gt;色氨酸（8.7%）&gt;组氨酸（5.1%）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3、π堆积相互作用可以增加抑制剂对靶标的结合亲和力，但有研究指出，减少分子芳香环的数量可能会改善其物理化学性质，如溶解度。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u w:val="single"/>
          <w:shd w:val="clear" w:fill="FFFFFF"/>
          <w:lang w:val="en-US" w:eastAsia="zh-CN" w:bidi="ar"/>
        </w:rPr>
        <w:t>弱氢键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1、C-H⋯O 氢键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2、相互作用的供体碳原子是芳香碳时，受体氧原子更多地来源于蛋白而非配体→大多数配体具有芳香环，而大多数侧链则没有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3、甘氨酸、天冬氨酸和谷氨酸始终是 C-H⋯O 相互作用中最常见的受体，而亮氨酸是最常见的供体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4、C-H⋯O氢键的中位距离为3.4 Å，比传统氢键（N-H⋯O, N-H⋯N, O-H⋯O）长0.4 Å，并且两个重原子之间的距离很少低于3.2 Å。C-H⋯O相互作用的角度集中在130°左右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5、Cα-H⋯O=C相互作用的强度约为NH⋯O=C氢键强度的一半，Cα-H⋯O氢键更应解释为次级相互作用，因为它们经常伴随着分叉的N-H⋯O氢键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u w:val="single"/>
          <w:shd w:val="clear" w:fill="FFFFFF"/>
          <w:lang w:val="en-US" w:eastAsia="zh-CN" w:bidi="ar"/>
        </w:rPr>
        <w:t>盐桥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1、</w:t>
      </w:r>
      <w:r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shd w:val="clear" w:fill="FFFFFF"/>
          <w:lang w:val="en-US" w:eastAsia="zh-CN" w:bidi="ar"/>
        </w:rPr>
        <w:t>正</w:t>
      </w: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电荷的</w:t>
      </w:r>
      <w:r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shd w:val="clear" w:fill="FFFFFF"/>
          <w:lang w:val="en-US" w:eastAsia="zh-CN" w:bidi="ar"/>
        </w:rPr>
        <w:t>氮</w:t>
      </w: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 xml:space="preserve"> 和 带</w:t>
      </w:r>
      <w:r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shd w:val="clear" w:fill="FFFFFF"/>
          <w:lang w:val="en-US" w:eastAsia="zh-CN" w:bidi="ar"/>
        </w:rPr>
        <w:t>负</w:t>
      </w: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电荷的</w:t>
      </w:r>
      <w:r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shd w:val="clear" w:fill="FFFFFF"/>
          <w:lang w:val="en-US" w:eastAsia="zh-CN" w:bidi="ar"/>
        </w:rPr>
        <w:t>氧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2、</w:t>
      </w:r>
      <w:r>
        <w:rPr>
          <w:rFonts w:ascii="宋体" w:hAnsi="宋体" w:eastAsia="宋体" w:cs="宋体"/>
          <w:color w:val="191B1F"/>
          <w:kern w:val="0"/>
          <w:sz w:val="16"/>
          <w:szCs w:val="16"/>
          <w:u w:val="single"/>
          <w:shd w:val="clear" w:fill="FFFFFF"/>
          <w:lang w:val="en-US" w:eastAsia="zh-CN" w:bidi="ar"/>
        </w:rPr>
        <w:t>蛋白的带正电的氮原子</w:t>
      </w: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--</w:t>
      </w:r>
      <w:r>
        <w:rPr>
          <w:rFonts w:ascii="宋体" w:hAnsi="宋体" w:eastAsia="宋体" w:cs="宋体"/>
          <w:color w:val="191B1F"/>
          <w:kern w:val="0"/>
          <w:sz w:val="16"/>
          <w:szCs w:val="16"/>
          <w:u w:val="single"/>
          <w:shd w:val="clear" w:fill="FFFFFF"/>
          <w:lang w:val="en-US" w:eastAsia="zh-CN" w:bidi="ar"/>
        </w:rPr>
        <w:t>配体的带负电的氧原子</w:t>
      </w: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 xml:space="preserve"> 之间形成的盐桥的数量是氮氧原子来源相反的盐桥数量的两倍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3、蛋白质中精氨酸（5.6%含两氨基）和赖氨酸（5.0%含一个氨基）的频率与天冬氨酸（5.4%含一个羧基）和谷氨酸（3.8%含一个羧基）的频率接近，所以这可能反映了PDB中含有羧酸的配体数量（1849个）多于氨基（1103个）→</w:t>
      </w:r>
      <w:r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shd w:val="clear" w:fill="FFFFFF"/>
          <w:lang w:val="en-US" w:eastAsia="zh-CN" w:bidi="ar"/>
        </w:rPr>
        <w:t>氨基：羧基=3：2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4、盐桥相互作用的强度强烈依赖于环境，特别是埋藏的盐桥对配体结合起着至关重要的作用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u w:val="single"/>
          <w:shd w:val="clear" w:fill="FFFFFF"/>
          <w:lang w:val="en-US" w:eastAsia="zh-CN" w:bidi="ar"/>
        </w:rPr>
        <w:t>酰胺⋯π堆积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1、酰胺键的π面相对于芳环π面的堆积，没有发现对面对面和边对面堆积的明显偏好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2、</w:t>
      </w:r>
      <w:r>
        <w:rPr>
          <w:rFonts w:ascii="宋体" w:hAnsi="宋体" w:eastAsia="宋体" w:cs="宋体"/>
          <w:color w:val="191B1F"/>
          <w:kern w:val="0"/>
          <w:sz w:val="16"/>
          <w:szCs w:val="16"/>
          <w:u w:val="single"/>
          <w:shd w:val="clear" w:fill="FFFFFF"/>
          <w:lang w:val="en-US" w:eastAsia="zh-CN" w:bidi="ar"/>
        </w:rPr>
        <w:t>面对面</w:t>
      </w: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堆积中最常见的氨基酸：甘氨酸（19.4%）和色氨酸（17.9%）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u w:val="single"/>
          <w:shd w:val="clear" w:fill="FFFFFF"/>
          <w:lang w:val="en-US" w:eastAsia="zh-CN" w:bidi="ar"/>
        </w:rPr>
        <w:t>边对面</w:t>
      </w: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堆积中最常见的氨基酸：甘氨酸（20.1%）和亮氨酸（13.0%）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u w:val="single"/>
          <w:shd w:val="clear" w:fill="FFFFFF"/>
          <w:lang w:val="en-US" w:eastAsia="zh-CN" w:bidi="ar"/>
        </w:rPr>
        <w:t>阳离子-π相互作用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1、氮原子来自受体，芳环来自配体：类药物化合物通常具有芳香环，而氨基则相对更少见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2、精氨酸参与阳离子-π相互作用的频率是赖氨酸侧链的3倍。先前已在氢键及盐桥的相互作用中观察到类似的趋势。这种偏好可能是由于</w:t>
      </w:r>
      <w:r>
        <w:rPr>
          <w:rFonts w:ascii="宋体" w:hAnsi="宋体" w:eastAsia="宋体" w:cs="宋体"/>
          <w:color w:val="191B1F"/>
          <w:kern w:val="0"/>
          <w:sz w:val="16"/>
          <w:szCs w:val="16"/>
          <w:u w:val="single"/>
          <w:shd w:val="clear" w:fill="FFFFFF"/>
          <w:lang w:val="en-US" w:eastAsia="zh-CN" w:bidi="ar"/>
        </w:rPr>
        <w:t>精氨酸的胍基可以在同时与芳香环结合的同时提供数个氢键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3、正电的氮来自配体时，来自酪氨酸侧链的芳香环最常见，其次常见的是苯丙氨酸和色氨酸。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4、之前的理论结果认为酪氨酸与苯丙氨酸形成阳离子-π相互作用的能力相同，但实验结果观察到蛋白质分子内阳离子-π作用中酪氨酸占比高于苯丙氨酸，酪氨酸额外的形成阳离子-π相互作用能力可能是由于其羟基形成氢键后，苯环电子云密度升高，形成阳离子-π相互作用能力更强。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u w:val="single"/>
          <w:shd w:val="clear" w:fill="FFFFFF"/>
          <w:lang w:val="en-US" w:eastAsia="zh-CN" w:bidi="ar"/>
        </w:rPr>
        <w:t>卤键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1、C-X⋯Y (X = Cl, Br, I; Y = O, N, S)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其中Y来自蛋白质侧链或主链。这些卤素键（XB）相互作用发生在卤素原子（XB供体）和亲核试剂（XB受体）的σ-空穴（正静电势）之间。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2、数量：Cl&gt;Br&gt;I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由于较高的电负性和缺乏极化性，氟不能形成卤素键相互作用，因此在分析中只考虑较重的卤素（Cl, Br和I）。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3、C-X⋯Y角的中位数为156°，表明其接近线性排列。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4、氧原子是最常见的XB受体（占所有相互作用的约90%），其次是硫（约9%）和氮（约1%）。卤素键中有71%（251对）与主链</w:t>
      </w:r>
      <w:r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shd w:val="clear" w:fill="FFFFFF"/>
          <w:lang w:val="en-US" w:eastAsia="zh-CN" w:bidi="ar"/>
        </w:rPr>
        <w:t>羰基氧原</w:t>
      </w: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子发生相互作用，而存在相互作用的天冬酰胺、脯氨酸、精氨酸和色氨酸残基较少。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u w:val="single"/>
          <w:shd w:val="clear" w:fill="FFFFFF"/>
          <w:lang w:val="en-US" w:eastAsia="zh-CN" w:bidi="ar"/>
        </w:rPr>
        <w:t>卤素多极相互作用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kern w:val="0"/>
          <w:sz w:val="16"/>
          <w:szCs w:val="16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与卤素键相关但又不同的是</w:t>
      </w:r>
      <w:r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shd w:val="clear" w:fill="FFFFFF"/>
          <w:lang w:val="en-US" w:eastAsia="zh-CN" w:bidi="ar"/>
        </w:rPr>
        <w:t>卤素原子</w:t>
      </w: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和</w:t>
      </w:r>
      <w:r>
        <w:rPr>
          <w:rFonts w:ascii="宋体" w:hAnsi="宋体" w:eastAsia="宋体" w:cs="宋体"/>
          <w:b/>
          <w:bCs/>
          <w:color w:val="191B1F"/>
          <w:kern w:val="0"/>
          <w:sz w:val="16"/>
          <w:szCs w:val="16"/>
          <w:shd w:val="clear" w:fill="FFFFFF"/>
          <w:lang w:val="en-US" w:eastAsia="zh-CN" w:bidi="ar"/>
        </w:rPr>
        <w:t>羰基碳或酰胺氮</w:t>
      </w:r>
      <w:r>
        <w:rPr>
          <w:rFonts w:ascii="宋体" w:hAnsi="宋体" w:eastAsia="宋体" w:cs="宋体"/>
          <w:color w:val="191B1F"/>
          <w:kern w:val="0"/>
          <w:sz w:val="16"/>
          <w:szCs w:val="16"/>
          <w:shd w:val="clear" w:fill="FFFFFF"/>
          <w:lang w:val="en-US" w:eastAsia="zh-CN" w:bidi="ar"/>
        </w:rPr>
        <w:t>之间的多极相互作用。这是C-X基团（主要是氟）和亲电中心（如蛋白质主链或侧链上的酰胺基团）之间有利的偶极相互作用。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Arial" w:hAnsi="Arial" w:eastAsia="宋体" w:cs="Arial"/>
          <w:b/>
          <w:bCs/>
          <w:color w:val="F33232"/>
          <w:kern w:val="0"/>
          <w:sz w:val="16"/>
          <w:szCs w:val="16"/>
          <w:shd w:val="clear" w:fill="FFFFFF"/>
          <w:lang w:val="en-US" w:eastAsia="zh-CN" w:bidi="ar"/>
        </w:rPr>
        <w:t>“正交相互作用”，这通常指的是两个分子或原子轨道在空间中的相对方向是垂直：</w:t>
      </w:r>
      <w:r>
        <w:rPr>
          <w:rFonts w:hint="default" w:ascii="Arial" w:hAnsi="Arial" w:eastAsia="宋体" w:cs="Arial"/>
          <w:color w:val="0D0D0D"/>
          <w:kern w:val="0"/>
          <w:sz w:val="16"/>
          <w:szCs w:val="16"/>
          <w:shd w:val="clear" w:fill="FFFFFF"/>
          <w:lang w:val="en-US" w:eastAsia="zh-CN" w:bidi="ar"/>
        </w:rPr>
        <w:t>当描述C-X与负极化中心（如羰基的氧原子）的相互作用时，如果说它们是正交的，这意味着C-X键的方向与羰基的C=O键的方向大致垂直。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kern w:val="0"/>
          <w:sz w:val="16"/>
          <w:szCs w:val="16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kern w:val="0"/>
          <w:sz w:val="16"/>
          <w:szCs w:val="16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kern w:val="0"/>
          <w:sz w:val="16"/>
          <w:szCs w:val="16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kern w:val="0"/>
          <w:sz w:val="16"/>
          <w:szCs w:val="16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kern w:val="0"/>
          <w:sz w:val="16"/>
          <w:szCs w:val="16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8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16"/>
          <w:szCs w:val="16"/>
        </w:rPr>
      </w:pPr>
      <w:r>
        <w:rPr>
          <w:rFonts w:ascii="宋体" w:hAnsi="宋体" w:eastAsia="宋体" w:cs="宋体"/>
          <w:kern w:val="0"/>
          <w:sz w:val="16"/>
          <w:szCs w:val="16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7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ZTFjNDljOTRkZTE2YTNmYmQ4MWEyN2I5NjFjZTQifQ=="/>
  </w:docVars>
  <w:rsids>
    <w:rsidRoot w:val="0D561533"/>
    <w:rsid w:val="0D56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../NUL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2024-05-22T07:14:00Z</dcterms:created>
  <dc:creator>Taro</dc:creator>
  <cp:lastModifiedBy>Taro</cp:lastModifiedBy>
  <dcterms:modified xsi:type="dcterms:W3CDTF">2024-05-22T07:54:28Z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928A25322F9F41739CFF2960B011D4CC_11</vt:lpwstr>
  </property>
</Properties>
</file>