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F5D05" w14:textId="77777777" w:rsidR="00531420" w:rsidRPr="002462CA" w:rsidRDefault="00531420" w:rsidP="00531420">
      <w:pPr>
        <w:spacing w:line="360" w:lineRule="auto"/>
        <w:rPr>
          <w:rFonts w:ascii="Times New Roman" w:eastAsia="宋体" w:hAnsi="Times New Roman"/>
          <w:b/>
          <w:bCs/>
          <w:sz w:val="28"/>
          <w:szCs w:val="24"/>
        </w:rPr>
      </w:pPr>
      <w:r w:rsidRPr="00DF5802">
        <w:rPr>
          <w:rFonts w:ascii="Times New Roman" w:eastAsia="宋体" w:hAnsi="Times New Roman"/>
          <w:b/>
          <w:bCs/>
          <w:sz w:val="28"/>
          <w:szCs w:val="24"/>
        </w:rPr>
        <w:t xml:space="preserve">2. </w:t>
      </w:r>
      <w:r w:rsidRPr="00DF5802">
        <w:rPr>
          <w:rFonts w:ascii="Times New Roman" w:eastAsia="宋体" w:hAnsi="Times New Roman" w:hint="eastAsia"/>
          <w:b/>
          <w:bCs/>
          <w:sz w:val="28"/>
          <w:szCs w:val="24"/>
        </w:rPr>
        <w:t>M</w:t>
      </w:r>
      <w:r w:rsidRPr="00DF5802">
        <w:rPr>
          <w:rFonts w:ascii="Times New Roman" w:eastAsia="宋体" w:hAnsi="Times New Roman"/>
          <w:b/>
          <w:bCs/>
          <w:sz w:val="28"/>
          <w:szCs w:val="24"/>
        </w:rPr>
        <w:t>ethods</w:t>
      </w:r>
    </w:p>
    <w:p w14:paraId="72408CD6" w14:textId="77777777" w:rsidR="00531420" w:rsidRPr="002462CA" w:rsidRDefault="00531420" w:rsidP="00531420">
      <w:pPr>
        <w:spacing w:line="360" w:lineRule="auto"/>
        <w:rPr>
          <w:rFonts w:ascii="Times New Roman" w:eastAsia="等线" w:hAnsi="Times New Roman" w:cs="Times New Roman"/>
          <w:b/>
          <w:sz w:val="24"/>
          <w:szCs w:val="24"/>
        </w:rPr>
      </w:pPr>
      <w:commentRangeStart w:id="0"/>
      <w:r w:rsidRPr="002462CA">
        <w:rPr>
          <w:rFonts w:ascii="Times New Roman" w:eastAsia="等线" w:hAnsi="Times New Roman" w:cs="Times New Roman"/>
          <w:b/>
          <w:sz w:val="24"/>
          <w:szCs w:val="24"/>
        </w:rPr>
        <w:t xml:space="preserve">2.9. SARS-CoV-2 </w:t>
      </w:r>
      <w:proofErr w:type="spellStart"/>
      <w:r w:rsidRPr="002462CA">
        <w:rPr>
          <w:rFonts w:ascii="Times New Roman" w:eastAsia="等线" w:hAnsi="Times New Roman" w:cs="Times New Roman"/>
          <w:b/>
          <w:sz w:val="24"/>
          <w:szCs w:val="24"/>
        </w:rPr>
        <w:t>PL</w:t>
      </w:r>
      <w:r w:rsidRPr="002462CA">
        <w:rPr>
          <w:rFonts w:ascii="Times New Roman" w:eastAsia="等线" w:hAnsi="Times New Roman" w:cs="Times New Roman"/>
          <w:b/>
          <w:sz w:val="24"/>
          <w:szCs w:val="24"/>
          <w:vertAlign w:val="superscript"/>
        </w:rPr>
        <w:t>pro</w:t>
      </w:r>
      <w:proofErr w:type="spellEnd"/>
      <w:r w:rsidRPr="002462CA">
        <w:rPr>
          <w:rFonts w:ascii="Times New Roman" w:eastAsia="等线" w:hAnsi="Times New Roman" w:cs="Times New Roman"/>
          <w:b/>
          <w:sz w:val="24"/>
          <w:szCs w:val="24"/>
        </w:rPr>
        <w:t xml:space="preserve"> inhibition assay</w:t>
      </w:r>
      <w:commentRangeEnd w:id="0"/>
      <w:r w:rsidRPr="002462CA">
        <w:rPr>
          <w:rStyle w:val="a3"/>
        </w:rPr>
        <w:commentReference w:id="0"/>
      </w:r>
    </w:p>
    <w:p w14:paraId="3167F00B" w14:textId="77777777" w:rsidR="002462CA" w:rsidRPr="002462CA" w:rsidRDefault="002462CA" w:rsidP="00531420">
      <w:pPr>
        <w:widowControl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2462CA">
        <w:rPr>
          <w:rFonts w:ascii="Times New Roman" w:hAnsi="Times New Roman" w:cs="Times New Roman"/>
          <w:kern w:val="0"/>
          <w:sz w:val="24"/>
          <w:szCs w:val="24"/>
        </w:rPr>
        <w:t xml:space="preserve">Compound inhibitory activity against SARS-CoV-2 </w:t>
      </w:r>
      <w:proofErr w:type="spellStart"/>
      <w:r w:rsidRPr="002462CA">
        <w:rPr>
          <w:rFonts w:ascii="Times New Roman" w:hAnsi="Times New Roman" w:cs="Times New Roman"/>
          <w:kern w:val="0"/>
          <w:sz w:val="24"/>
          <w:szCs w:val="24"/>
        </w:rPr>
        <w:t>PL</w:t>
      </w:r>
      <w:r w:rsidRPr="002462C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pro</w:t>
      </w:r>
      <w:proofErr w:type="spellEnd"/>
      <w:r w:rsidRPr="002462CA">
        <w:rPr>
          <w:rFonts w:ascii="Times New Roman" w:hAnsi="Times New Roman" w:cs="Times New Roman"/>
          <w:kern w:val="0"/>
          <w:sz w:val="24"/>
          <w:szCs w:val="24"/>
        </w:rPr>
        <w:t xml:space="preserve"> was determined using a fluorescence resonance energy transfer (FRET) protease assay. For IC50 measurements, SARS-CoV-2 </w:t>
      </w:r>
      <w:proofErr w:type="spellStart"/>
      <w:r w:rsidRPr="002462CA">
        <w:rPr>
          <w:rFonts w:ascii="Times New Roman" w:hAnsi="Times New Roman" w:cs="Times New Roman"/>
          <w:kern w:val="0"/>
          <w:sz w:val="24"/>
          <w:szCs w:val="24"/>
        </w:rPr>
        <w:t>PL</w:t>
      </w:r>
      <w:r w:rsidRPr="002462C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pro</w:t>
      </w:r>
      <w:proofErr w:type="spellEnd"/>
      <w:r w:rsidRPr="002462CA">
        <w:rPr>
          <w:rFonts w:ascii="Times New Roman" w:hAnsi="Times New Roman" w:cs="Times New Roman"/>
          <w:kern w:val="0"/>
          <w:sz w:val="24"/>
          <w:szCs w:val="24"/>
        </w:rPr>
        <w:t xml:space="preserve"> was pre-incubated with each compound in assay buffer for 10 min at room temperature in a 384-well black polystyrene plate. The reaction was initiated by adding the substrate Z-RLRGG-AMC to a final concentration of 25 </w:t>
      </w:r>
      <w:proofErr w:type="spellStart"/>
      <w:r w:rsidRPr="002462CA">
        <w:rPr>
          <w:rFonts w:ascii="Times New Roman" w:hAnsi="Times New Roman" w:cs="Times New Roman"/>
          <w:kern w:val="0"/>
          <w:sz w:val="24"/>
          <w:szCs w:val="24"/>
        </w:rPr>
        <w:t>μM</w:t>
      </w:r>
      <w:proofErr w:type="spellEnd"/>
      <w:r w:rsidRPr="002462CA">
        <w:rPr>
          <w:rFonts w:ascii="Times New Roman" w:hAnsi="Times New Roman" w:cs="Times New Roman"/>
          <w:kern w:val="0"/>
          <w:sz w:val="24"/>
          <w:szCs w:val="24"/>
        </w:rPr>
        <w:t>. Fluorescence (</w:t>
      </w:r>
      <w:r w:rsidRPr="0065301C">
        <w:rPr>
          <w:rFonts w:ascii="Times New Roman" w:eastAsia="Times New Roman" w:hAnsi="Times New Roman" w:cs="Times New Roman"/>
          <w:kern w:val="0"/>
          <w:sz w:val="24"/>
          <w:szCs w:val="24"/>
        </w:rPr>
        <w:t>excitation/emission at 340 nm/490 nm</w:t>
      </w:r>
      <w:r w:rsidRPr="002462CA">
        <w:rPr>
          <w:rFonts w:ascii="Times New Roman" w:hAnsi="Times New Roman" w:cs="Times New Roman"/>
          <w:kern w:val="0"/>
          <w:sz w:val="24"/>
          <w:szCs w:val="24"/>
        </w:rPr>
        <w:t xml:space="preserve">) was monitored continuously using an </w:t>
      </w:r>
      <w:proofErr w:type="spellStart"/>
      <w:r w:rsidRPr="002462CA">
        <w:rPr>
          <w:rFonts w:ascii="Times New Roman" w:hAnsi="Times New Roman" w:cs="Times New Roman"/>
          <w:kern w:val="0"/>
          <w:sz w:val="24"/>
          <w:szCs w:val="24"/>
        </w:rPr>
        <w:t>EnVision</w:t>
      </w:r>
      <w:proofErr w:type="spellEnd"/>
      <w:r w:rsidRPr="002462CA">
        <w:rPr>
          <w:rFonts w:ascii="Times New Roman" w:hAnsi="Times New Roman" w:cs="Times New Roman"/>
          <w:kern w:val="0"/>
          <w:sz w:val="24"/>
          <w:szCs w:val="24"/>
        </w:rPr>
        <w:t xml:space="preserve"> multimode plate reader (Perkin Elmer). The initial reaction rate was determined from the linear phase of the kinetic curve. Dose-response curves were fitted using GraphPad Prism 8</w:t>
      </w:r>
      <w:r>
        <w:rPr>
          <w:rFonts w:ascii="Times New Roman" w:hAnsi="Times New Roman" w:cs="Times New Roman"/>
          <w:kern w:val="0"/>
          <w:sz w:val="24"/>
          <w:szCs w:val="24"/>
        </w:rPr>
        <w:t>.0</w:t>
      </w:r>
      <w:r w:rsidRPr="002462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B70AB09" w14:textId="77777777" w:rsidR="00531420" w:rsidRPr="00531420" w:rsidRDefault="00531420" w:rsidP="00531420">
      <w:pPr>
        <w:spacing w:line="360" w:lineRule="auto"/>
        <w:rPr>
          <w:rFonts w:ascii="Times New Roman" w:eastAsia="等线" w:hAnsi="Times New Roman" w:cs="Times New Roman"/>
          <w:b/>
          <w:sz w:val="24"/>
          <w:szCs w:val="24"/>
          <w:highlight w:val="cyan"/>
        </w:rPr>
      </w:pPr>
    </w:p>
    <w:p w14:paraId="2C5E7EB1" w14:textId="77777777" w:rsidR="00E36B9C" w:rsidRPr="00570B2B" w:rsidRDefault="00570B2B" w:rsidP="00570B2B">
      <w:pPr>
        <w:spacing w:line="360" w:lineRule="auto"/>
        <w:rPr>
          <w:rFonts w:ascii="Times New Roman" w:eastAsia="宋体" w:hAnsi="Times New Roman"/>
          <w:b/>
          <w:bCs/>
          <w:sz w:val="28"/>
        </w:rPr>
      </w:pPr>
      <w:r w:rsidRPr="00DF5802">
        <w:rPr>
          <w:rFonts w:ascii="Times New Roman" w:eastAsia="宋体" w:hAnsi="Times New Roman"/>
          <w:b/>
          <w:bCs/>
          <w:sz w:val="28"/>
        </w:rPr>
        <w:t xml:space="preserve">3. </w:t>
      </w:r>
      <w:r w:rsidRPr="00DF5802">
        <w:rPr>
          <w:rFonts w:ascii="Times New Roman" w:eastAsia="宋体" w:hAnsi="Times New Roman" w:hint="eastAsia"/>
          <w:b/>
          <w:bCs/>
          <w:sz w:val="28"/>
        </w:rPr>
        <w:t>Results</w:t>
      </w:r>
      <w:r w:rsidRPr="00DF5802">
        <w:rPr>
          <w:rFonts w:ascii="Times New Roman" w:eastAsia="宋体" w:hAnsi="Times New Roman"/>
          <w:b/>
          <w:bCs/>
          <w:sz w:val="28"/>
        </w:rPr>
        <w:t xml:space="preserve"> </w:t>
      </w:r>
      <w:r w:rsidRPr="00DF5802">
        <w:rPr>
          <w:rFonts w:ascii="Times New Roman" w:eastAsia="宋体" w:hAnsi="Times New Roman" w:hint="eastAsia"/>
          <w:b/>
          <w:bCs/>
          <w:sz w:val="28"/>
        </w:rPr>
        <w:t>a</w:t>
      </w:r>
      <w:r w:rsidRPr="00DF5802">
        <w:rPr>
          <w:rFonts w:ascii="Times New Roman" w:eastAsia="宋体" w:hAnsi="Times New Roman"/>
          <w:b/>
          <w:bCs/>
          <w:sz w:val="28"/>
        </w:rPr>
        <w:t xml:space="preserve">nd </w:t>
      </w:r>
      <w:r w:rsidRPr="00DF5802">
        <w:rPr>
          <w:rFonts w:ascii="Times New Roman" w:eastAsia="宋体" w:hAnsi="Times New Roman" w:hint="eastAsia"/>
          <w:b/>
          <w:bCs/>
          <w:sz w:val="28"/>
        </w:rPr>
        <w:t>Discussion</w:t>
      </w:r>
    </w:p>
    <w:p w14:paraId="402F210C" w14:textId="77777777" w:rsidR="00531420" w:rsidRPr="00115510" w:rsidRDefault="00531420" w:rsidP="00531420">
      <w:pPr>
        <w:spacing w:line="360" w:lineRule="auto"/>
        <w:rPr>
          <w:rFonts w:ascii="Times New Roman" w:eastAsia="宋体" w:hAnsi="Times New Roman"/>
          <w:b/>
          <w:bCs/>
          <w:sz w:val="24"/>
        </w:rPr>
      </w:pPr>
      <w:commentRangeStart w:id="1"/>
      <w:r w:rsidRPr="00115510">
        <w:rPr>
          <w:rFonts w:ascii="Times New Roman" w:eastAsia="宋体" w:hAnsi="Times New Roman"/>
          <w:b/>
          <w:bCs/>
          <w:sz w:val="24"/>
        </w:rPr>
        <w:t xml:space="preserve">3.7. </w:t>
      </w:r>
      <w:r>
        <w:rPr>
          <w:rFonts w:ascii="Times New Roman" w:eastAsia="宋体" w:hAnsi="Times New Roman" w:hint="eastAsia"/>
          <w:b/>
          <w:bCs/>
          <w:sz w:val="24"/>
        </w:rPr>
        <w:t>E</w:t>
      </w:r>
      <w:r w:rsidRPr="00585A28">
        <w:rPr>
          <w:rFonts w:ascii="Times New Roman" w:eastAsia="宋体" w:hAnsi="Times New Roman" w:hint="eastAsia"/>
          <w:b/>
          <w:bCs/>
          <w:sz w:val="24"/>
        </w:rPr>
        <w:t>nzymatic inhibition assay</w:t>
      </w:r>
      <w:r w:rsidRPr="00115510" w:rsidDel="00B2601A">
        <w:rPr>
          <w:rFonts w:ascii="Times New Roman" w:eastAsia="宋体" w:hAnsi="Times New Roman"/>
          <w:b/>
          <w:bCs/>
          <w:sz w:val="24"/>
        </w:rPr>
        <w:t xml:space="preserve"> </w:t>
      </w:r>
      <w:commentRangeEnd w:id="1"/>
      <w:r w:rsidR="00570B2B">
        <w:rPr>
          <w:rStyle w:val="a3"/>
        </w:rPr>
        <w:commentReference w:id="1"/>
      </w:r>
    </w:p>
    <w:p w14:paraId="6B138D8B" w14:textId="77777777" w:rsidR="00531420" w:rsidRDefault="00531420" w:rsidP="00531420">
      <w:pPr>
        <w:spacing w:line="360" w:lineRule="auto"/>
        <w:ind w:firstLineChars="200" w:firstLine="480"/>
        <w:rPr>
          <w:rFonts w:ascii="Times New Roman" w:eastAsia="等线" w:hAnsi="Times New Roman" w:cs="Times New Roman"/>
          <w:kern w:val="0"/>
          <w:sz w:val="24"/>
          <w:szCs w:val="24"/>
        </w:rPr>
      </w:pP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To validate the inhibitory effects of the 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HSBD-derived 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compounds </w:t>
      </w:r>
      <w:r w:rsidRPr="009B3208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against 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>SARS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noBreakHyphen/>
        <w:t>CoV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noBreakHyphen/>
        <w:t xml:space="preserve">2 </w:t>
      </w:r>
      <w:proofErr w:type="spellStart"/>
      <w:r w:rsidRPr="00DF5802">
        <w:rPr>
          <w:rFonts w:ascii="Times New Roman" w:eastAsia="等线" w:hAnsi="Times New Roman" w:cs="Times New Roman"/>
          <w:kern w:val="0"/>
          <w:sz w:val="24"/>
          <w:szCs w:val="24"/>
        </w:rPr>
        <w:t>M</w:t>
      </w:r>
      <w:r w:rsidRPr="00D22AA4">
        <w:rPr>
          <w:rFonts w:ascii="Times New Roman" w:eastAsia="等线" w:hAnsi="Times New Roman" w:cs="Times New Roman"/>
          <w:kern w:val="0"/>
          <w:sz w:val="24"/>
          <w:szCs w:val="24"/>
          <w:vertAlign w:val="superscript"/>
        </w:rPr>
        <w:t>pro</w:t>
      </w:r>
      <w:proofErr w:type="spellEnd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and </w:t>
      </w:r>
      <w:proofErr w:type="spellStart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>PL</w:t>
      </w:r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  <w:vertAlign w:val="superscript"/>
        </w:rPr>
        <w:t>pro</w:t>
      </w:r>
      <w:proofErr w:type="spellEnd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, we employed </w:t>
      </w:r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>fluorescence resonance energy transfer (FRET) protease assays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. 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>Nine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>potential bioactive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compounds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identified from virtual screening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(TCMID‑05973,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TCMID‑15972, TCMID‑22246, TCMID‑22314, TCMID‑26509, TCMID‑27300, TCMID‑27476, TCMID‑27543, and TCMID‑28905) were preliminary screened at 10 </w:t>
      </w:r>
      <w:proofErr w:type="spellStart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>μM</w:t>
      </w:r>
      <w:proofErr w:type="spellEnd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and 100 </w:t>
      </w:r>
      <w:proofErr w:type="spellStart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>μM</w:t>
      </w:r>
      <w:proofErr w:type="spellEnd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>.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</w:t>
      </w:r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 xml:space="preserve">At 100 </w:t>
      </w:r>
      <w:proofErr w:type="spellStart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>μM</w:t>
      </w:r>
      <w:proofErr w:type="spellEnd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 xml:space="preserve">, </w:t>
      </w:r>
      <w:proofErr w:type="spellStart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>isobavachalcone</w:t>
      </w:r>
      <w:proofErr w:type="spellEnd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 xml:space="preserve"> (TCMID‑27300) inhibited </w:t>
      </w:r>
      <w:proofErr w:type="spellStart"/>
      <w:r w:rsidRPr="00570B2B">
        <w:rPr>
          <w:rFonts w:ascii="Times New Roman" w:eastAsia="等线" w:hAnsi="Times New Roman" w:cs="Times New Roman"/>
          <w:kern w:val="0"/>
          <w:sz w:val="24"/>
          <w:szCs w:val="24"/>
        </w:rPr>
        <w:t>M</w:t>
      </w:r>
      <w:r w:rsidRPr="00570B2B">
        <w:rPr>
          <w:rFonts w:ascii="Times New Roman" w:eastAsia="等线" w:hAnsi="Times New Roman" w:cs="Times New Roman"/>
          <w:kern w:val="0"/>
          <w:sz w:val="24"/>
          <w:szCs w:val="24"/>
          <w:vertAlign w:val="superscript"/>
        </w:rPr>
        <w:t>pro</w:t>
      </w:r>
      <w:proofErr w:type="spellEnd"/>
      <w:r w:rsidRPr="00570B2B">
        <w:rPr>
          <w:rFonts w:ascii="Times New Roman" w:eastAsia="等线" w:hAnsi="Times New Roman" w:cs="Times New Roman"/>
          <w:kern w:val="0"/>
          <w:sz w:val="24"/>
          <w:szCs w:val="24"/>
        </w:rPr>
        <w:t xml:space="preserve"> and </w:t>
      </w:r>
      <w:proofErr w:type="spellStart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>PL</w:t>
      </w:r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  <w:vertAlign w:val="superscript"/>
        </w:rPr>
        <w:t>pro</w:t>
      </w:r>
      <w:proofErr w:type="spellEnd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 xml:space="preserve"> by </w:t>
      </w:r>
      <w:r w:rsidRPr="00570B2B">
        <w:rPr>
          <w:rFonts w:ascii="Times New Roman" w:eastAsia="等线" w:hAnsi="Times New Roman" w:cs="Times New Roman"/>
          <w:kern w:val="0"/>
          <w:sz w:val="24"/>
          <w:szCs w:val="24"/>
        </w:rPr>
        <w:t xml:space="preserve">93.8% and </w:t>
      </w:r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>43.6%, respectively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>.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>G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>labrol</w:t>
      </w:r>
      <w:proofErr w:type="spellEnd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(TCMID‑27476) inhibited </w:t>
      </w:r>
      <w:proofErr w:type="spellStart"/>
      <w:r w:rsidRPr="00DF5802">
        <w:rPr>
          <w:rFonts w:ascii="Times New Roman" w:eastAsia="等线" w:hAnsi="Times New Roman" w:cs="Times New Roman"/>
          <w:kern w:val="0"/>
          <w:sz w:val="24"/>
          <w:szCs w:val="24"/>
        </w:rPr>
        <w:t>M</w:t>
      </w:r>
      <w:r w:rsidRPr="00D22AA4">
        <w:rPr>
          <w:rFonts w:ascii="Times New Roman" w:eastAsia="等线" w:hAnsi="Times New Roman" w:cs="Times New Roman"/>
          <w:kern w:val="0"/>
          <w:sz w:val="24"/>
          <w:szCs w:val="24"/>
          <w:vertAlign w:val="superscript"/>
        </w:rPr>
        <w:t>pro</w:t>
      </w:r>
      <w:proofErr w:type="spellEnd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by 93.4% and </w:t>
      </w:r>
      <w:proofErr w:type="spellStart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>licoflavone</w:t>
      </w:r>
      <w:proofErr w:type="spellEnd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 xml:space="preserve"> B (TCMID‑15972) inhibited </w:t>
      </w:r>
      <w:proofErr w:type="spellStart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>PL</w:t>
      </w:r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  <w:vertAlign w:val="superscript"/>
        </w:rPr>
        <w:t>pro</w:t>
      </w:r>
      <w:proofErr w:type="spellEnd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 xml:space="preserve"> by 43.3%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. These results </w:t>
      </w:r>
      <w:r w:rsidRPr="00154E9A">
        <w:rPr>
          <w:rFonts w:ascii="Times New Roman" w:eastAsia="等线" w:hAnsi="Times New Roman" w:cs="Times New Roman"/>
          <w:kern w:val="0"/>
          <w:sz w:val="24"/>
          <w:szCs w:val="24"/>
        </w:rPr>
        <w:t xml:space="preserve">revealed </w:t>
      </w:r>
      <w:proofErr w:type="spellStart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>isobavachalcone</w:t>
      </w:r>
      <w:proofErr w:type="spellEnd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>glab</w:t>
      </w:r>
      <w:r w:rsidRPr="00E76348">
        <w:rPr>
          <w:rFonts w:ascii="Times New Roman" w:eastAsia="等线" w:hAnsi="Times New Roman" w:cs="Times New Roman" w:hint="eastAsia"/>
          <w:kern w:val="0"/>
          <w:sz w:val="24"/>
          <w:szCs w:val="24"/>
        </w:rPr>
        <w:t>rol</w:t>
      </w:r>
      <w:proofErr w:type="spellEnd"/>
      <w:r w:rsidRPr="00E76348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, and </w:t>
      </w:r>
      <w:proofErr w:type="spellStart"/>
      <w:r w:rsidRPr="00E76348">
        <w:rPr>
          <w:rFonts w:ascii="Times New Roman" w:eastAsia="等线" w:hAnsi="Times New Roman" w:cs="Times New Roman" w:hint="eastAsia"/>
          <w:kern w:val="0"/>
          <w:sz w:val="24"/>
          <w:szCs w:val="24"/>
        </w:rPr>
        <w:t>licoflavone</w:t>
      </w:r>
      <w:proofErr w:type="spellEnd"/>
      <w:r w:rsidRPr="00E76348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B as the most promising 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>antiviral compounds</w:t>
      </w:r>
      <w:r w:rsidRPr="00E76348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for further evaluation.</w:t>
      </w:r>
    </w:p>
    <w:p w14:paraId="6829F292" w14:textId="77777777" w:rsidR="00531420" w:rsidRDefault="00531420" w:rsidP="00531420">
      <w:pPr>
        <w:spacing w:line="360" w:lineRule="auto"/>
        <w:ind w:firstLineChars="200" w:firstLine="480"/>
        <w:rPr>
          <w:rFonts w:ascii="Times New Roman" w:eastAsia="等线" w:hAnsi="Times New Roman" w:cs="Times New Roman"/>
          <w:kern w:val="0"/>
          <w:sz w:val="24"/>
          <w:szCs w:val="24"/>
        </w:rPr>
      </w:pP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>Subsequently, we determined their half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noBreakHyphen/>
        <w:t xml:space="preserve">maximal inhibitory concentrations (IC50) using </w:t>
      </w:r>
      <w:proofErr w:type="spellStart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>nirmatrelvir</w:t>
      </w:r>
      <w:proofErr w:type="spellEnd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and </w:t>
      </w:r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>GRL0617 as positive controls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for </w:t>
      </w:r>
      <w:proofErr w:type="spellStart"/>
      <w:r w:rsidRPr="00DF5802">
        <w:rPr>
          <w:rFonts w:ascii="Times New Roman" w:eastAsia="等线" w:hAnsi="Times New Roman" w:cs="Times New Roman"/>
          <w:kern w:val="0"/>
          <w:sz w:val="24"/>
          <w:szCs w:val="24"/>
        </w:rPr>
        <w:t>M</w:t>
      </w:r>
      <w:r w:rsidRPr="00D22AA4">
        <w:rPr>
          <w:rFonts w:ascii="Times New Roman" w:eastAsia="等线" w:hAnsi="Times New Roman" w:cs="Times New Roman"/>
          <w:kern w:val="0"/>
          <w:sz w:val="24"/>
          <w:szCs w:val="24"/>
          <w:vertAlign w:val="superscript"/>
        </w:rPr>
        <w:t>pro</w:t>
      </w:r>
      <w:proofErr w:type="spellEnd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and </w:t>
      </w:r>
      <w:proofErr w:type="spellStart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>PL</w:t>
      </w:r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  <w:vertAlign w:val="superscript"/>
        </w:rPr>
        <w:t>pro</w:t>
      </w:r>
      <w:proofErr w:type="spellEnd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>, respectively. As depicted in Figure 5C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and 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>Figure 5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>D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, </w:t>
      </w:r>
      <w:commentRangeStart w:id="2"/>
      <w:proofErr w:type="spellStart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>isobavachalcone</w:t>
      </w:r>
      <w:commentRangeEnd w:id="2"/>
      <w:proofErr w:type="spellEnd"/>
      <w:r w:rsidR="00570B2B">
        <w:rPr>
          <w:rStyle w:val="a3"/>
        </w:rPr>
        <w:commentReference w:id="2"/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exhibited IC</w:t>
      </w:r>
      <w:r w:rsidRPr="00115510">
        <w:rPr>
          <w:rFonts w:ascii="Times New Roman" w:eastAsia="等线" w:hAnsi="Times New Roman" w:cs="Times New Roman"/>
          <w:kern w:val="0"/>
          <w:sz w:val="24"/>
          <w:szCs w:val="24"/>
          <w:vertAlign w:val="subscript"/>
        </w:rPr>
        <w:t>50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values of 6.27 </w:t>
      </w:r>
      <w:proofErr w:type="spellStart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>μM</w:t>
      </w:r>
      <w:proofErr w:type="spellEnd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against </w:t>
      </w:r>
      <w:proofErr w:type="spellStart"/>
      <w:r w:rsidRPr="00DF5802">
        <w:rPr>
          <w:rFonts w:ascii="Times New Roman" w:eastAsia="等线" w:hAnsi="Times New Roman" w:cs="Times New Roman"/>
          <w:kern w:val="0"/>
          <w:sz w:val="24"/>
          <w:szCs w:val="24"/>
        </w:rPr>
        <w:t>M</w:t>
      </w:r>
      <w:r w:rsidRPr="00D22AA4">
        <w:rPr>
          <w:rFonts w:ascii="Times New Roman" w:eastAsia="等线" w:hAnsi="Times New Roman" w:cs="Times New Roman"/>
          <w:kern w:val="0"/>
          <w:sz w:val="24"/>
          <w:szCs w:val="24"/>
          <w:vertAlign w:val="superscript"/>
        </w:rPr>
        <w:t>pro</w:t>
      </w:r>
      <w:proofErr w:type="spellEnd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and </w:t>
      </w:r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 xml:space="preserve">99.93 </w:t>
      </w:r>
      <w:proofErr w:type="spellStart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>μM</w:t>
      </w:r>
      <w:proofErr w:type="spellEnd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 xml:space="preserve"> against </w:t>
      </w:r>
      <w:proofErr w:type="spellStart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>PL</w:t>
      </w:r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  <w:vertAlign w:val="superscript"/>
        </w:rPr>
        <w:t>pro</w:t>
      </w:r>
      <w:proofErr w:type="spellEnd"/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. </w:t>
      </w:r>
      <w:proofErr w:type="spellStart"/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>G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>labrol</w:t>
      </w:r>
      <w:proofErr w:type="spellEnd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showed an IC</w:t>
      </w:r>
      <w:r w:rsidRPr="00030B00">
        <w:rPr>
          <w:rFonts w:ascii="Times New Roman" w:eastAsia="等线" w:hAnsi="Times New Roman" w:cs="Times New Roman"/>
          <w:kern w:val="0"/>
          <w:sz w:val="24"/>
          <w:szCs w:val="24"/>
          <w:vertAlign w:val="subscript"/>
        </w:rPr>
        <w:t>50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of 3.38 </w:t>
      </w:r>
      <w:proofErr w:type="spellStart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>μM</w:t>
      </w:r>
      <w:proofErr w:type="spellEnd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against </w:t>
      </w:r>
      <w:proofErr w:type="spellStart"/>
      <w:r w:rsidRPr="00DF5802">
        <w:rPr>
          <w:rFonts w:ascii="Times New Roman" w:eastAsia="等线" w:hAnsi="Times New Roman" w:cs="Times New Roman"/>
          <w:kern w:val="0"/>
          <w:sz w:val="24"/>
          <w:szCs w:val="24"/>
        </w:rPr>
        <w:t>M</w:t>
      </w:r>
      <w:r w:rsidRPr="00D22AA4">
        <w:rPr>
          <w:rFonts w:ascii="Times New Roman" w:eastAsia="等线" w:hAnsi="Times New Roman" w:cs="Times New Roman"/>
          <w:kern w:val="0"/>
          <w:sz w:val="24"/>
          <w:szCs w:val="24"/>
          <w:vertAlign w:val="superscript"/>
        </w:rPr>
        <w:t>pro</w:t>
      </w:r>
      <w:proofErr w:type="spellEnd"/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(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>Figure 5C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>)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and </w:t>
      </w:r>
      <w:commentRangeStart w:id="3"/>
      <w:proofErr w:type="spellStart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>licoflavone</w:t>
      </w:r>
      <w:proofErr w:type="spellEnd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 xml:space="preserve"> B</w:t>
      </w:r>
      <w:commentRangeEnd w:id="3"/>
      <w:r w:rsidR="00570B2B">
        <w:rPr>
          <w:rStyle w:val="a3"/>
        </w:rPr>
        <w:commentReference w:id="3"/>
      </w:r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 xml:space="preserve"> demonstrated an IC</w:t>
      </w:r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  <w:vertAlign w:val="subscript"/>
        </w:rPr>
        <w:t>50</w:t>
      </w:r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 xml:space="preserve"> of 84.35 </w:t>
      </w:r>
      <w:proofErr w:type="spellStart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>μM</w:t>
      </w:r>
      <w:proofErr w:type="spellEnd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 xml:space="preserve"> against </w:t>
      </w:r>
      <w:proofErr w:type="spellStart"/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lastRenderedPageBreak/>
        <w:t>PL</w:t>
      </w:r>
      <w:r w:rsidRPr="00570B2B">
        <w:rPr>
          <w:rFonts w:ascii="Times New Roman" w:eastAsia="等线" w:hAnsi="Times New Roman" w:cs="Times New Roman"/>
          <w:kern w:val="0"/>
          <w:sz w:val="24"/>
          <w:szCs w:val="24"/>
          <w:highlight w:val="yellow"/>
          <w:vertAlign w:val="superscript"/>
        </w:rPr>
        <w:t>pro</w:t>
      </w:r>
      <w:proofErr w:type="spellEnd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(Figure 5D). </w:t>
      </w:r>
      <w:commentRangeStart w:id="4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>The IC</w:t>
      </w:r>
      <w:r w:rsidRPr="00030B00">
        <w:rPr>
          <w:rFonts w:ascii="Times New Roman" w:eastAsia="等线" w:hAnsi="Times New Roman" w:cs="Times New Roman"/>
          <w:kern w:val="0"/>
          <w:sz w:val="24"/>
          <w:szCs w:val="24"/>
          <w:vertAlign w:val="subscript"/>
        </w:rPr>
        <w:t>50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values of the controls were consistent with previously reported data, confirming assay reliability.</w:t>
      </w:r>
      <w:commentRangeEnd w:id="4"/>
      <w:r w:rsidR="00570B2B">
        <w:rPr>
          <w:rStyle w:val="a3"/>
        </w:rPr>
        <w:commentReference w:id="4"/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</w:t>
      </w:r>
      <w:r w:rsidRPr="00A06BE4">
        <w:rPr>
          <w:rFonts w:ascii="Times New Roman" w:eastAsia="等线" w:hAnsi="Times New Roman" w:cs="Times New Roman"/>
          <w:kern w:val="0"/>
          <w:sz w:val="24"/>
          <w:szCs w:val="24"/>
        </w:rPr>
        <w:t xml:space="preserve">While these three natural products exhibit promising inhibitory activity, they are less potent than </w:t>
      </w:r>
      <w:proofErr w:type="spellStart"/>
      <w:r w:rsidRPr="00A06BE4">
        <w:rPr>
          <w:rFonts w:ascii="Times New Roman" w:eastAsia="等线" w:hAnsi="Times New Roman" w:cs="Times New Roman"/>
          <w:kern w:val="0"/>
          <w:sz w:val="24"/>
          <w:szCs w:val="24"/>
        </w:rPr>
        <w:t>nirmatrelvir</w:t>
      </w:r>
      <w:proofErr w:type="spellEnd"/>
      <w:r w:rsidRPr="00A06BE4">
        <w:rPr>
          <w:rFonts w:ascii="Times New Roman" w:eastAsia="等线" w:hAnsi="Times New Roman" w:cs="Times New Roman"/>
          <w:kern w:val="0"/>
          <w:sz w:val="24"/>
          <w:szCs w:val="24"/>
        </w:rPr>
        <w:t xml:space="preserve"> and GRL0617.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</w:t>
      </w:r>
      <w:r w:rsidRPr="00A06BE4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Nonetheless, their unique scaffolds compared with known </w:t>
      </w:r>
      <w:proofErr w:type="spellStart"/>
      <w:r w:rsidRPr="00DF5802">
        <w:rPr>
          <w:rFonts w:ascii="Times New Roman" w:eastAsia="等线" w:hAnsi="Times New Roman" w:cs="Times New Roman"/>
          <w:kern w:val="0"/>
          <w:sz w:val="24"/>
          <w:szCs w:val="24"/>
        </w:rPr>
        <w:t>M</w:t>
      </w:r>
      <w:r w:rsidRPr="00D22AA4">
        <w:rPr>
          <w:rFonts w:ascii="Times New Roman" w:eastAsia="等线" w:hAnsi="Times New Roman" w:cs="Times New Roman"/>
          <w:kern w:val="0"/>
          <w:sz w:val="24"/>
          <w:szCs w:val="24"/>
          <w:vertAlign w:val="superscript"/>
        </w:rPr>
        <w:t>pro</w:t>
      </w:r>
      <w:proofErr w:type="spellEnd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and </w:t>
      </w:r>
      <w:proofErr w:type="spellStart"/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>PL</w:t>
      </w:r>
      <w:r w:rsidRPr="00D22AA4">
        <w:rPr>
          <w:rFonts w:ascii="Times New Roman" w:eastAsia="等线" w:hAnsi="Times New Roman" w:cs="Times New Roman"/>
          <w:kern w:val="0"/>
          <w:sz w:val="24"/>
          <w:szCs w:val="24"/>
          <w:vertAlign w:val="superscript"/>
        </w:rPr>
        <w:t>pro</w:t>
      </w:r>
      <w:proofErr w:type="spellEnd"/>
      <w:r w:rsidRPr="00A06BE4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inhibitors present valuable starting points for structural optimization.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</w:t>
      </w:r>
      <w:r w:rsidRPr="00A06BE4">
        <w:rPr>
          <w:rFonts w:ascii="Times New Roman" w:eastAsia="等线" w:hAnsi="Times New Roman" w:cs="Times New Roman" w:hint="eastAsia"/>
          <w:kern w:val="0"/>
          <w:sz w:val="24"/>
          <w:szCs w:val="24"/>
        </w:rPr>
        <w:t>Further medicinal chemistry efforts may enhance their potency, supporting the development of new antiviral agents based on natural products.</w:t>
      </w:r>
    </w:p>
    <w:p w14:paraId="2C4BCC97" w14:textId="2F194498" w:rsidR="00531420" w:rsidRPr="00DF5802" w:rsidRDefault="00A953AB" w:rsidP="00531420">
      <w:pPr>
        <w:spacing w:line="360" w:lineRule="auto"/>
        <w:rPr>
          <w:rFonts w:ascii="Times New Roman" w:eastAsia="等线" w:hAnsi="Times New Roman" w:cs="Times New Roman"/>
          <w:kern w:val="0"/>
          <w:sz w:val="24"/>
          <w:szCs w:val="24"/>
        </w:rPr>
      </w:pPr>
      <w:r w:rsidRPr="00A953AB">
        <w:rPr>
          <w:rFonts w:ascii="Times New Roman" w:eastAsia="等线" w:hAnsi="Times New Roman" w:cs="Times New Roman"/>
          <w:kern w:val="0"/>
          <w:sz w:val="24"/>
          <w:szCs w:val="24"/>
        </w:rPr>
        <w:drawing>
          <wp:inline distT="0" distB="0" distL="0" distR="0" wp14:anchorId="77695162" wp14:editId="3968F9C1">
            <wp:extent cx="5274310" cy="2470150"/>
            <wp:effectExtent l="0" t="0" r="2540" b="6350"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261E7E17-E71F-45F4-9A97-A17539E798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261E7E17-E71F-45F4-9A97-A17539E798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498DD" w14:textId="77777777" w:rsidR="00531420" w:rsidRPr="00DF5802" w:rsidRDefault="00531420" w:rsidP="00531420">
      <w:pPr>
        <w:spacing w:line="360" w:lineRule="auto"/>
        <w:rPr>
          <w:rFonts w:ascii="Times New Roman" w:eastAsia="等线" w:hAnsi="Times New Roman" w:cs="Times New Roman"/>
          <w:kern w:val="0"/>
          <w:sz w:val="24"/>
          <w:szCs w:val="24"/>
        </w:rPr>
      </w:pPr>
      <w:r w:rsidRPr="00DF5802">
        <w:rPr>
          <w:rFonts w:ascii="Times New Roman" w:eastAsia="等线" w:hAnsi="Times New Roman" w:cs="Times New Roman"/>
          <w:kern w:val="0"/>
          <w:sz w:val="24"/>
          <w:szCs w:val="24"/>
        </w:rPr>
        <w:t xml:space="preserve">Fig. 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>5</w:t>
      </w:r>
      <w:r w:rsidRPr="00DF5802">
        <w:rPr>
          <w:rFonts w:ascii="Times New Roman" w:eastAsia="等线" w:hAnsi="Times New Roman" w:cs="Times New Roman"/>
          <w:kern w:val="0"/>
          <w:sz w:val="24"/>
          <w:szCs w:val="24"/>
        </w:rPr>
        <w:t xml:space="preserve">. 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>The e</w:t>
      </w:r>
      <w:r w:rsidRPr="005E5899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nzymatic </w:t>
      </w:r>
      <w:r w:rsidRPr="00B2601A">
        <w:rPr>
          <w:rFonts w:ascii="Times New Roman" w:eastAsia="等线" w:hAnsi="Times New Roman" w:cs="Times New Roman" w:hint="eastAsia"/>
          <w:kern w:val="0"/>
          <w:sz w:val="24"/>
          <w:szCs w:val="24"/>
        </w:rPr>
        <w:t>inhibition assay</w:t>
      </w:r>
      <w:r w:rsidRPr="00B2601A">
        <w:rPr>
          <w:rFonts w:ascii="Times New Roman" w:eastAsia="等线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>results of nine potential bioactive</w:t>
      </w:r>
      <w:r w:rsidRPr="00E76348">
        <w:rPr>
          <w:rFonts w:ascii="Times New Roman" w:eastAsia="等线" w:hAnsi="Times New Roman" w:cs="Times New Roman"/>
          <w:kern w:val="0"/>
          <w:sz w:val="24"/>
          <w:szCs w:val="24"/>
        </w:rPr>
        <w:t xml:space="preserve"> compounds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derived from HSBD. (A) </w:t>
      </w:r>
      <w:r w:rsidRPr="00B2601A">
        <w:rPr>
          <w:rFonts w:ascii="Times New Roman" w:eastAsia="等线" w:hAnsi="Times New Roman" w:cs="Times New Roman"/>
          <w:kern w:val="0"/>
          <w:sz w:val="24"/>
          <w:szCs w:val="24"/>
        </w:rPr>
        <w:t xml:space="preserve">SARS-CoV-2 </w:t>
      </w:r>
      <w:proofErr w:type="spellStart"/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>M</w:t>
      </w:r>
      <w:r w:rsidRPr="00B2601A">
        <w:rPr>
          <w:rFonts w:ascii="Times New Roman" w:eastAsia="等线" w:hAnsi="Times New Roman" w:cs="Times New Roman"/>
          <w:kern w:val="0"/>
          <w:sz w:val="24"/>
          <w:szCs w:val="24"/>
          <w:vertAlign w:val="superscript"/>
        </w:rPr>
        <w:t>pro</w:t>
      </w:r>
      <w:proofErr w:type="spellEnd"/>
      <w:r w:rsidRPr="00B2601A">
        <w:rPr>
          <w:rFonts w:ascii="Times New Roman" w:eastAsia="等线" w:hAnsi="Times New Roman" w:cs="Times New Roman"/>
          <w:kern w:val="0"/>
          <w:sz w:val="24"/>
          <w:szCs w:val="24"/>
        </w:rPr>
        <w:t> inhibition %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. (B) </w:t>
      </w:r>
      <w:r w:rsidRPr="00B2601A">
        <w:rPr>
          <w:rFonts w:ascii="Times New Roman" w:eastAsia="等线" w:hAnsi="Times New Roman" w:cs="Times New Roman"/>
          <w:kern w:val="0"/>
          <w:sz w:val="24"/>
          <w:szCs w:val="24"/>
        </w:rPr>
        <w:t xml:space="preserve">SARS-CoV-2 </w:t>
      </w:r>
      <w:proofErr w:type="spellStart"/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>P</w:t>
      </w:r>
      <w:r w:rsidRPr="00B2601A">
        <w:rPr>
          <w:rFonts w:ascii="Times New Roman" w:eastAsia="等线" w:hAnsi="Times New Roman" w:cs="Times New Roman"/>
          <w:kern w:val="0"/>
          <w:sz w:val="24"/>
          <w:szCs w:val="24"/>
        </w:rPr>
        <w:t>L</w:t>
      </w:r>
      <w:r w:rsidRPr="00B2601A">
        <w:rPr>
          <w:rFonts w:ascii="Times New Roman" w:eastAsia="等线" w:hAnsi="Times New Roman" w:cs="Times New Roman"/>
          <w:kern w:val="0"/>
          <w:sz w:val="24"/>
          <w:szCs w:val="24"/>
          <w:vertAlign w:val="superscript"/>
        </w:rPr>
        <w:t>pro</w:t>
      </w:r>
      <w:proofErr w:type="spellEnd"/>
      <w:r w:rsidRPr="00B2601A">
        <w:rPr>
          <w:rFonts w:ascii="Times New Roman" w:eastAsia="等线" w:hAnsi="Times New Roman" w:cs="Times New Roman"/>
          <w:kern w:val="0"/>
          <w:sz w:val="24"/>
          <w:szCs w:val="24"/>
        </w:rPr>
        <w:t> inhibition %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>.</w:t>
      </w:r>
      <w:r w:rsidRPr="00B2601A">
        <w:rPr>
          <w:rFonts w:ascii="Times New Roman" w:eastAsia="等线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(C) </w:t>
      </w:r>
      <w:r w:rsidRPr="009677AB">
        <w:rPr>
          <w:rFonts w:ascii="Times New Roman" w:eastAsia="等线" w:hAnsi="Times New Roman" w:cs="Times New Roman"/>
          <w:kern w:val="0"/>
          <w:sz w:val="24"/>
          <w:szCs w:val="24"/>
        </w:rPr>
        <w:t>Inhibitory activities (IC</w:t>
      </w:r>
      <w:r w:rsidRPr="009677AB">
        <w:rPr>
          <w:rFonts w:ascii="Times New Roman" w:eastAsia="等线" w:hAnsi="Times New Roman" w:cs="Times New Roman"/>
          <w:kern w:val="0"/>
          <w:sz w:val="24"/>
          <w:szCs w:val="24"/>
          <w:vertAlign w:val="subscript"/>
        </w:rPr>
        <w:t>50</w:t>
      </w:r>
      <w:r w:rsidRPr="009677AB">
        <w:rPr>
          <w:rFonts w:ascii="Times New Roman" w:eastAsia="等线" w:hAnsi="Times New Roman" w:cs="Times New Roman"/>
          <w:kern w:val="0"/>
          <w:sz w:val="24"/>
          <w:szCs w:val="24"/>
        </w:rPr>
        <w:t xml:space="preserve">) of representative compounds against SARS-CoV-2 </w:t>
      </w:r>
      <w:proofErr w:type="spellStart"/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>M</w:t>
      </w:r>
      <w:r w:rsidRPr="009677AB">
        <w:rPr>
          <w:rFonts w:ascii="Times New Roman" w:eastAsia="等线" w:hAnsi="Times New Roman" w:cs="Times New Roman"/>
          <w:kern w:val="0"/>
          <w:sz w:val="24"/>
          <w:szCs w:val="24"/>
          <w:vertAlign w:val="superscript"/>
        </w:rPr>
        <w:t>pro</w:t>
      </w:r>
      <w:proofErr w:type="spellEnd"/>
      <w:r w:rsidRPr="009677AB">
        <w:rPr>
          <w:rFonts w:ascii="Times New Roman" w:eastAsia="等线" w:hAnsi="Times New Roman" w:cs="Times New Roman"/>
          <w:kern w:val="0"/>
          <w:sz w:val="24"/>
          <w:szCs w:val="24"/>
        </w:rPr>
        <w:t xml:space="preserve">. </w:t>
      </w:r>
      <w:r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(D) </w:t>
      </w:r>
      <w:bookmarkStart w:id="5" w:name="_GoBack"/>
      <w:bookmarkEnd w:id="5"/>
      <w:r w:rsidRPr="00A953A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>Inhibitory activities (IC</w:t>
      </w:r>
      <w:r w:rsidRPr="00A953AB">
        <w:rPr>
          <w:rFonts w:ascii="Times New Roman" w:eastAsia="等线" w:hAnsi="Times New Roman" w:cs="Times New Roman"/>
          <w:kern w:val="0"/>
          <w:sz w:val="24"/>
          <w:szCs w:val="24"/>
          <w:highlight w:val="yellow"/>
          <w:vertAlign w:val="subscript"/>
        </w:rPr>
        <w:t>50</w:t>
      </w:r>
      <w:r w:rsidRPr="00A953A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 xml:space="preserve">) of representative compounds against SARS-CoV-2 </w:t>
      </w:r>
      <w:proofErr w:type="spellStart"/>
      <w:r w:rsidRPr="00A953AB">
        <w:rPr>
          <w:rFonts w:ascii="Times New Roman" w:eastAsia="等线" w:hAnsi="Times New Roman" w:cs="Times New Roman" w:hint="eastAsia"/>
          <w:kern w:val="0"/>
          <w:sz w:val="24"/>
          <w:szCs w:val="24"/>
          <w:highlight w:val="yellow"/>
        </w:rPr>
        <w:t>P</w:t>
      </w:r>
      <w:r w:rsidRPr="00A953A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>L</w:t>
      </w:r>
      <w:r w:rsidRPr="00A953AB">
        <w:rPr>
          <w:rFonts w:ascii="Times New Roman" w:eastAsia="等线" w:hAnsi="Times New Roman" w:cs="Times New Roman"/>
          <w:kern w:val="0"/>
          <w:sz w:val="24"/>
          <w:szCs w:val="24"/>
          <w:highlight w:val="yellow"/>
          <w:vertAlign w:val="superscript"/>
        </w:rPr>
        <w:t>pro</w:t>
      </w:r>
      <w:proofErr w:type="spellEnd"/>
      <w:r w:rsidRPr="00A953AB">
        <w:rPr>
          <w:rFonts w:ascii="Times New Roman" w:eastAsia="等线" w:hAnsi="Times New Roman" w:cs="Times New Roman"/>
          <w:kern w:val="0"/>
          <w:sz w:val="24"/>
          <w:szCs w:val="24"/>
          <w:highlight w:val="yellow"/>
        </w:rPr>
        <w:t>.</w:t>
      </w:r>
    </w:p>
    <w:p w14:paraId="2C995896" w14:textId="77777777" w:rsidR="00531420" w:rsidRPr="00531420" w:rsidRDefault="00531420"/>
    <w:sectPr w:rsidR="00531420" w:rsidRPr="00531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zzy" w:date="2025-03-15T18:18:00Z" w:initials="z">
    <w:p w14:paraId="6FDE063C" w14:textId="77777777" w:rsidR="00531420" w:rsidRDefault="00531420" w:rsidP="00531420">
      <w:pPr>
        <w:pStyle w:val="a4"/>
      </w:pPr>
      <w:r>
        <w:rPr>
          <w:rStyle w:val="a3"/>
        </w:rPr>
        <w:annotationRef/>
      </w:r>
      <w:r w:rsidR="00570B2B">
        <w:rPr>
          <w:rFonts w:hint="eastAsia"/>
        </w:rPr>
        <w:t>本段参考了初筛实验报告（其中指出实验方法为F</w:t>
      </w:r>
      <w:r w:rsidR="00570B2B">
        <w:t>RET</w:t>
      </w:r>
      <w:r w:rsidR="00570B2B">
        <w:rPr>
          <w:rFonts w:hint="eastAsia"/>
        </w:rPr>
        <w:t>）与</w:t>
      </w:r>
      <w:r w:rsidR="00570B2B" w:rsidRPr="00570B2B">
        <w:rPr>
          <w:rFonts w:ascii="Times New Roman" w:hAnsi="Times New Roman" w:cs="Times New Roman"/>
          <w:i/>
        </w:rPr>
        <w:t>Acta Pharm Sin B.</w:t>
      </w:r>
      <w:r w:rsidR="00570B2B" w:rsidRPr="00570B2B">
        <w:rPr>
          <w:rFonts w:ascii="Times New Roman" w:hAnsi="Times New Roman" w:cs="Times New Roman"/>
        </w:rPr>
        <w:t xml:space="preserve"> 2024 Apr 15;14(7):3286–3290.</w:t>
      </w:r>
      <w:r w:rsidR="00570B2B">
        <w:rPr>
          <w:rFonts w:ascii="Times New Roman" w:hAnsi="Times New Roman" w:cs="Times New Roman" w:hint="eastAsia"/>
        </w:rPr>
        <w:t>的</w:t>
      </w:r>
      <w:r w:rsidR="00570B2B">
        <w:rPr>
          <w:rFonts w:ascii="Times New Roman" w:hAnsi="Times New Roman" w:cs="Times New Roman" w:hint="eastAsia"/>
        </w:rPr>
        <w:t>S</w:t>
      </w:r>
      <w:r w:rsidR="00570B2B">
        <w:rPr>
          <w:rFonts w:ascii="Times New Roman" w:hAnsi="Times New Roman" w:cs="Times New Roman"/>
        </w:rPr>
        <w:t>I</w:t>
      </w:r>
      <w:r w:rsidR="00570B2B">
        <w:rPr>
          <w:rFonts w:ascii="Times New Roman" w:hAnsi="Times New Roman" w:cs="Times New Roman" w:hint="eastAsia"/>
        </w:rPr>
        <w:t>中</w:t>
      </w:r>
      <w:r w:rsidR="00570B2B" w:rsidRPr="00570B2B">
        <w:rPr>
          <w:rFonts w:ascii="Times New Roman" w:hAnsi="Times New Roman" w:cs="Times New Roman"/>
        </w:rPr>
        <w:t>2.2.3 Enzymatic assays</w:t>
      </w:r>
      <w:r w:rsidR="00570B2B">
        <w:rPr>
          <w:rFonts w:ascii="Times New Roman" w:hAnsi="Times New Roman" w:cs="Times New Roman" w:hint="eastAsia"/>
        </w:rPr>
        <w:t>部分。</w:t>
      </w:r>
      <w:r>
        <w:rPr>
          <w:rFonts w:hint="eastAsia"/>
        </w:rPr>
        <w:t>请冯勃老师</w:t>
      </w:r>
      <w:r w:rsidR="002462CA">
        <w:rPr>
          <w:rFonts w:hint="eastAsia"/>
        </w:rPr>
        <w:t>审核</w:t>
      </w:r>
      <w:r w:rsidR="00570B2B">
        <w:rPr>
          <w:rFonts w:hint="eastAsia"/>
        </w:rPr>
        <w:t>。</w:t>
      </w:r>
    </w:p>
  </w:comment>
  <w:comment w:id="1" w:author="zzy" w:date="2025-05-30T15:41:00Z" w:initials="z">
    <w:p w14:paraId="33A22EB3" w14:textId="77777777" w:rsidR="00570B2B" w:rsidRDefault="00570B2B" w:rsidP="00570B2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请冯勃老师审核，尤其是黄色高亮的部分</w:t>
      </w:r>
    </w:p>
    <w:p w14:paraId="6FE64917" w14:textId="77777777" w:rsidR="00570B2B" w:rsidRDefault="00570B2B" w:rsidP="00570B2B">
      <w:pPr>
        <w:pStyle w:val="a4"/>
      </w:pPr>
      <w:r>
        <w:rPr>
          <w:rFonts w:hint="eastAsia"/>
        </w:rPr>
        <w:t>化合物的实验编号与文章命名对应如下：</w:t>
      </w:r>
    </w:p>
    <w:p w14:paraId="708EDCCE" w14:textId="77777777" w:rsidR="00570B2B" w:rsidRDefault="00570B2B" w:rsidP="00570B2B">
      <w:pPr>
        <w:pStyle w:val="a4"/>
      </w:pPr>
      <w:r>
        <w:t xml:space="preserve">Mol11:   </w:t>
      </w:r>
      <w:proofErr w:type="spellStart"/>
      <w:r>
        <w:t>isobavachalcone</w:t>
      </w:r>
      <w:proofErr w:type="spellEnd"/>
      <w:r>
        <w:t xml:space="preserve"> (TCMID</w:t>
      </w:r>
      <w:r>
        <w:rPr>
          <w:rFonts w:ascii="MS Mincho" w:eastAsia="MS Mincho" w:hAnsi="MS Mincho" w:cs="MS Mincho" w:hint="eastAsia"/>
        </w:rPr>
        <w:t>‑</w:t>
      </w:r>
      <w:r>
        <w:t>27300)</w:t>
      </w:r>
    </w:p>
    <w:p w14:paraId="33B9C8F1" w14:textId="77777777" w:rsidR="00570B2B" w:rsidRPr="00570B2B" w:rsidRDefault="00570B2B">
      <w:pPr>
        <w:pStyle w:val="a4"/>
      </w:pPr>
      <w:r>
        <w:t xml:space="preserve">Mol6  :  </w:t>
      </w:r>
      <w:proofErr w:type="spellStart"/>
      <w:r>
        <w:t>licoflavone</w:t>
      </w:r>
      <w:proofErr w:type="spellEnd"/>
      <w:r>
        <w:t xml:space="preserve"> B (TCMID</w:t>
      </w:r>
      <w:r>
        <w:rPr>
          <w:rFonts w:ascii="MS Mincho" w:eastAsia="MS Mincho" w:hAnsi="MS Mincho" w:cs="MS Mincho" w:hint="eastAsia"/>
        </w:rPr>
        <w:t>‑</w:t>
      </w:r>
      <w:r>
        <w:t>15972)</w:t>
      </w:r>
    </w:p>
  </w:comment>
  <w:comment w:id="2" w:author="zzy" w:date="2025-05-30T15:48:00Z" w:initials="z">
    <w:p w14:paraId="795E93FF" w14:textId="77777777" w:rsidR="00570B2B" w:rsidRDefault="00570B2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实验编号m</w:t>
      </w:r>
      <w:r>
        <w:t>ol11</w:t>
      </w:r>
    </w:p>
  </w:comment>
  <w:comment w:id="3" w:author="zzy" w:date="2025-05-30T15:49:00Z" w:initials="z">
    <w:p w14:paraId="3C60A4A8" w14:textId="77777777" w:rsidR="00570B2B" w:rsidRDefault="00570B2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实验编号m</w:t>
      </w:r>
      <w:r>
        <w:t>ol6</w:t>
      </w:r>
    </w:p>
  </w:comment>
  <w:comment w:id="4" w:author="zzy" w:date="2025-05-30T15:49:00Z" w:initials="z">
    <w:p w14:paraId="6299A728" w14:textId="77777777" w:rsidR="00570B2B" w:rsidRDefault="00570B2B">
      <w:pPr>
        <w:pStyle w:val="a4"/>
      </w:pPr>
      <w:r>
        <w:rPr>
          <w:rStyle w:val="a3"/>
        </w:rPr>
        <w:annotationRef/>
      </w:r>
      <w:r w:rsidR="008F66CB">
        <w:rPr>
          <w:rFonts w:ascii="Times New Roman" w:hAnsi="Times New Roman" w:cs="Times New Roman" w:hint="eastAsia"/>
        </w:rPr>
        <w:t>参考文献之一为：</w:t>
      </w:r>
      <w:r w:rsidR="008F66CB" w:rsidRPr="00570B2B">
        <w:rPr>
          <w:rFonts w:ascii="Times New Roman" w:hAnsi="Times New Roman" w:cs="Times New Roman"/>
          <w:i/>
        </w:rPr>
        <w:t>Acta Pharm Sin B.</w:t>
      </w:r>
      <w:r w:rsidR="008F66CB" w:rsidRPr="00570B2B">
        <w:rPr>
          <w:rFonts w:ascii="Times New Roman" w:hAnsi="Times New Roman" w:cs="Times New Roman"/>
        </w:rPr>
        <w:t xml:space="preserve"> 2024 Apr 15;14(7):3286–3290.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DE063C" w15:done="0"/>
  <w15:commentEx w15:paraId="33B9C8F1" w15:done="0"/>
  <w15:commentEx w15:paraId="795E93FF" w15:done="0"/>
  <w15:commentEx w15:paraId="3C60A4A8" w15:done="0"/>
  <w15:commentEx w15:paraId="6299A7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DE063C" w16cid:durableId="2B8042DB"/>
  <w16cid:commentId w16cid:paraId="33B9C8F1" w16cid:durableId="2BE45039"/>
  <w16cid:commentId w16cid:paraId="795E93FF" w16cid:durableId="2BE451D0"/>
  <w16cid:commentId w16cid:paraId="3C60A4A8" w16cid:durableId="2BE451F1"/>
  <w16cid:commentId w16cid:paraId="6299A728" w16cid:durableId="2BE452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E679F" w14:textId="77777777" w:rsidR="00EF4201" w:rsidRDefault="00EF4201" w:rsidP="00A953AB">
      <w:r>
        <w:separator/>
      </w:r>
    </w:p>
  </w:endnote>
  <w:endnote w:type="continuationSeparator" w:id="0">
    <w:p w14:paraId="1935C932" w14:textId="77777777" w:rsidR="00EF4201" w:rsidRDefault="00EF4201" w:rsidP="00A9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588AE" w14:textId="77777777" w:rsidR="00EF4201" w:rsidRDefault="00EF4201" w:rsidP="00A953AB">
      <w:r>
        <w:separator/>
      </w:r>
    </w:p>
  </w:footnote>
  <w:footnote w:type="continuationSeparator" w:id="0">
    <w:p w14:paraId="23BC1453" w14:textId="77777777" w:rsidR="00EF4201" w:rsidRDefault="00EF4201" w:rsidP="00A9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046A"/>
    <w:multiLevelType w:val="hybridMultilevel"/>
    <w:tmpl w:val="1024BAB6"/>
    <w:lvl w:ilvl="0" w:tplc="5DD4E5D6">
      <w:start w:val="1"/>
      <w:numFmt w:val="decimal"/>
      <w:lvlText w:val="%1."/>
      <w:lvlJc w:val="left"/>
      <w:pPr>
        <w:ind w:left="720" w:hanging="360"/>
      </w:pPr>
    </w:lvl>
    <w:lvl w:ilvl="1" w:tplc="05C6B69E">
      <w:start w:val="1"/>
      <w:numFmt w:val="decimal"/>
      <w:lvlText w:val="%2."/>
      <w:lvlJc w:val="left"/>
      <w:pPr>
        <w:ind w:left="720" w:hanging="360"/>
      </w:pPr>
    </w:lvl>
    <w:lvl w:ilvl="2" w:tplc="48B4B9A0">
      <w:start w:val="1"/>
      <w:numFmt w:val="decimal"/>
      <w:lvlText w:val="%3."/>
      <w:lvlJc w:val="left"/>
      <w:pPr>
        <w:ind w:left="720" w:hanging="360"/>
      </w:pPr>
    </w:lvl>
    <w:lvl w:ilvl="3" w:tplc="AA2E133E">
      <w:start w:val="1"/>
      <w:numFmt w:val="decimal"/>
      <w:lvlText w:val="%4."/>
      <w:lvlJc w:val="left"/>
      <w:pPr>
        <w:ind w:left="720" w:hanging="360"/>
      </w:pPr>
    </w:lvl>
    <w:lvl w:ilvl="4" w:tplc="A1720FB0">
      <w:start w:val="1"/>
      <w:numFmt w:val="decimal"/>
      <w:lvlText w:val="%5."/>
      <w:lvlJc w:val="left"/>
      <w:pPr>
        <w:ind w:left="720" w:hanging="360"/>
      </w:pPr>
    </w:lvl>
    <w:lvl w:ilvl="5" w:tplc="3C784B72">
      <w:start w:val="1"/>
      <w:numFmt w:val="decimal"/>
      <w:lvlText w:val="%6."/>
      <w:lvlJc w:val="left"/>
      <w:pPr>
        <w:ind w:left="720" w:hanging="360"/>
      </w:pPr>
    </w:lvl>
    <w:lvl w:ilvl="6" w:tplc="E1B46CB0">
      <w:start w:val="1"/>
      <w:numFmt w:val="decimal"/>
      <w:lvlText w:val="%7."/>
      <w:lvlJc w:val="left"/>
      <w:pPr>
        <w:ind w:left="720" w:hanging="360"/>
      </w:pPr>
    </w:lvl>
    <w:lvl w:ilvl="7" w:tplc="14E261F2">
      <w:start w:val="1"/>
      <w:numFmt w:val="decimal"/>
      <w:lvlText w:val="%8."/>
      <w:lvlJc w:val="left"/>
      <w:pPr>
        <w:ind w:left="720" w:hanging="360"/>
      </w:pPr>
    </w:lvl>
    <w:lvl w:ilvl="8" w:tplc="F2AC5FC4">
      <w:start w:val="1"/>
      <w:numFmt w:val="decimal"/>
      <w:lvlText w:val="%9."/>
      <w:lvlJc w:val="left"/>
      <w:pPr>
        <w:ind w:left="72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zy">
    <w15:presenceInfo w15:providerId="Windows Live" w15:userId="4bfaf2b5aee5e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20"/>
    <w:rsid w:val="002462CA"/>
    <w:rsid w:val="00531420"/>
    <w:rsid w:val="00570B2B"/>
    <w:rsid w:val="008F66CB"/>
    <w:rsid w:val="00A953AB"/>
    <w:rsid w:val="00E36B9C"/>
    <w:rsid w:val="00E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D2B09"/>
  <w15:chartTrackingRefBased/>
  <w15:docId w15:val="{2B88AC51-D8BA-49AD-AF9E-E3C4327D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42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31420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531420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531420"/>
  </w:style>
  <w:style w:type="paragraph" w:styleId="a6">
    <w:name w:val="Balloon Text"/>
    <w:basedOn w:val="a"/>
    <w:link w:val="a7"/>
    <w:uiPriority w:val="99"/>
    <w:semiHidden/>
    <w:unhideWhenUsed/>
    <w:rsid w:val="0053142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31420"/>
    <w:rPr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570B2B"/>
    <w:rPr>
      <w:b/>
      <w:bCs/>
    </w:rPr>
  </w:style>
  <w:style w:type="character" w:customStyle="1" w:styleId="a9">
    <w:name w:val="批注主题 字符"/>
    <w:basedOn w:val="a5"/>
    <w:link w:val="a8"/>
    <w:uiPriority w:val="99"/>
    <w:semiHidden/>
    <w:rsid w:val="00570B2B"/>
    <w:rPr>
      <w:b/>
      <w:bCs/>
    </w:rPr>
  </w:style>
  <w:style w:type="paragraph" w:styleId="aa">
    <w:name w:val="header"/>
    <w:basedOn w:val="a"/>
    <w:link w:val="ab"/>
    <w:uiPriority w:val="99"/>
    <w:unhideWhenUsed/>
    <w:rsid w:val="00A95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A953AB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A95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A953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zzy</dc:creator>
  <cp:keywords/>
  <dc:description/>
  <cp:lastModifiedBy>zzy</cp:lastModifiedBy>
  <cp:revision>2</cp:revision>
  <dcterms:created xsi:type="dcterms:W3CDTF">2025-05-30T07:10:00Z</dcterms:created>
  <dcterms:modified xsi:type="dcterms:W3CDTF">2025-05-30T08:00:00Z</dcterms:modified>
</cp:coreProperties>
</file>